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加息预期重燃拐点是否临近-港股海外周论 260607_导读</w:t>
      </w:r>
    </w:p>
    <w:p>
      <w:pPr>
        <w:pStyle w:val="a0"/>
        <w:jc w:val="center"/>
      </w:pPr>
      <w:r>
        <w:t>2026年06月08日 21:49</w:t>
      </w:r>
    </w:p>
    <w:p>
      <w:pPr>
        <w:pStyle w:val="a7"/>
      </w:pPr>
      <w:r>
        <w:t>关键词</w:t>
      </w:r>
    </w:p>
    <w:p>
      <w:r>
        <w:rPr>
          <w:rFonts w:ascii="等线(中文正文)" w:hAnsi="等线(中文正文)" w:cs="等线(中文正文)" w:eastAsia="等线(中文正文)"/>
          <w:b w:val="false"/>
          <w:i w:val="false"/>
          <w:sz w:val="20"/>
        </w:rPr>
        <w:t xml:space="preserve">美联储 加息 美股 港股 流动性 通胀 科技股 降息 非农数据 市场预期 避险 防御 能源 医疗保健 消费 半导体 PMI SpaceX 货币政策 经济基本面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集中于东吴证券研究所对港股和美股市场的近期变化及未来展望。市场担忧主要源于美联储加息预期的高涨及其对市场节奏的影响，以及所谓的“史诗级”技术变动可能带来的市场波动。讨论了六月份美股和港股可能面临的压力，并回顾了去年以来的关键时间节点对全年市场节奏的潜在影响。强调了全球货币政策周期、科技企业业绩以及产业与货币政策的同步性对市场的重要性。重点关注了可能影响市场的关键事件，包括通胀数据、SpaceX上市和美联储的议息会议，分析了这些事件如何可能加剧短期市场波动。此外，对港股市场前景进行了分析，指出当前港股具有较高的赔率，强调了在不确定性市场中的防御性策略以及科技板块的重要性。会议最后强调，虽然短期内市场可能经历波动，但长期趋势需观察具体经济数据和政策方向。</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东吴策略：加息预期与市场拐点探讨</w:t>
      </w:r>
    </w:p>
    <w:p>
      <w:r>
        <w:rPr>
          <w:rFonts w:ascii="等线(中文正文)" w:hAnsi="等线(中文正文)" w:cs="等线(中文正文)" w:eastAsia="等线(中文正文)"/>
          <w:b w:val="false"/>
          <w:i w:val="false"/>
          <w:sz w:val="20"/>
        </w:rPr>
        <w:t>会议讨论了近期市场对美联储加息的高涨预期及其可能带来的短期影响，分析了美股和港股面临的压力与潜在拐点，强调了流动性位置的重要性，并展望了全球货币政策对市场节奏的影响及下半年策略调整建议。</w:t>
      </w:r>
    </w:p>
    <w:p>
      <w:r>
        <w:rPr>
          <w:rFonts w:ascii="等线(中文正文)" w:hAnsi="等线(中文正文)" w:cs="等线(中文正文)" w:eastAsia="等线(中文正文)"/>
          <w:b w:val="false"/>
          <w:i w:val="false"/>
          <w:sz w:val="20"/>
        </w:rPr>
        <w:t/>
      </w:r>
    </w:p>
    <w:p>
      <w:pPr>
        <w:pStyle w:val="ab"/>
        <w:numPr>
          <w:numId w:val="2"/>
        </w:numPr>
      </w:pPr>
      <w:r>
        <w:t>03:18 美股下跌原因分析：AI信仰修正与经济数据影响</w:t>
      </w:r>
    </w:p>
    <w:p>
      <w:r>
        <w:rPr>
          <w:rFonts w:ascii="等线(中文正文)" w:hAnsi="等线(中文正文)" w:cs="等线(中文正文)" w:eastAsia="等线(中文正文)"/>
          <w:b w:val="false"/>
          <w:i w:val="false"/>
          <w:sz w:val="20"/>
        </w:rPr>
        <w:t>过去一周，全球市场尤其是美股面临下跌压力，纳指跌幅显著。原因包括AI相关企业财报不及预期、科技股增发传闻引发市场对AI投资信心动摇，以及强劲的非农数据削弱降息预期，导致避险情绪升温。此外，制造业PMI数据疲软与服务业PMI数据向好形成对比，反映经济基本面的复杂性。短期内，美股可能进入高波动状态，受宏观流动性收紧及微观筹码去杠杆影响。</w:t>
      </w:r>
    </w:p>
    <w:p>
      <w:r>
        <w:rPr>
          <w:rFonts w:ascii="等线(中文正文)" w:hAnsi="等线(中文正文)" w:cs="等线(中文正文)" w:eastAsia="等线(中文正文)"/>
          <w:b w:val="false"/>
          <w:i w:val="false"/>
          <w:sz w:val="20"/>
        </w:rPr>
        <w:t/>
      </w:r>
    </w:p>
    <w:p>
      <w:pPr>
        <w:pStyle w:val="ab"/>
        <w:numPr>
          <w:numId w:val="3"/>
        </w:numPr>
      </w:pPr>
      <w:r>
        <w:t>09:45 美股短期波动加剧：通胀、SpaceX上市与美联储议息会议影响</w:t>
      </w:r>
    </w:p>
    <w:p>
      <w:r>
        <w:rPr>
          <w:rFonts w:ascii="等线(中文正文)" w:hAnsi="等线(中文正文)" w:cs="等线(中文正文)" w:eastAsia="等线(中文正文)"/>
          <w:b w:val="false"/>
          <w:i w:val="false"/>
          <w:sz w:val="20"/>
        </w:rPr>
        <w:t>未来几周，美股可能因三大事件共振而波动加剧，包括通胀数据超预期、SpaceX上市引发的资金抽离担忧，以及美联储首次议息会议的政策走向。通胀持续高位可能推升美债利率，影响高估值科技股；SpaceX上市初期可能引发市场担忧，但纳入指数后有望缓解；美联储议息会议表态将影响市场对下半年政策预期，整体来看，市场存在宏观流动性、微观风险偏好及货币政策三方面的不确定性，预计波动率将上升。</w:t>
      </w:r>
    </w:p>
    <w:p>
      <w:r>
        <w:rPr>
          <w:rFonts w:ascii="等线(中文正文)" w:hAnsi="等线(中文正文)" w:cs="等线(中文正文)" w:eastAsia="等线(中文正文)"/>
          <w:b w:val="false"/>
          <w:i w:val="false"/>
          <w:sz w:val="20"/>
        </w:rPr>
        <w:t/>
      </w:r>
    </w:p>
    <w:p>
      <w:pPr>
        <w:pStyle w:val="ab"/>
        <w:numPr>
          <w:numId w:val="4"/>
        </w:numPr>
      </w:pPr>
      <w:r>
        <w:t>16:09 海外市场回调非周期性拐点分析</w:t>
      </w:r>
    </w:p>
    <w:p>
      <w:r>
        <w:rPr>
          <w:rFonts w:ascii="等线(中文正文)" w:hAnsi="等线(中文正文)" w:cs="等线(中文正文)" w:eastAsia="等线(中文正文)"/>
          <w:b w:val="false"/>
          <w:i w:val="false"/>
          <w:sz w:val="20"/>
        </w:rPr>
        <w:t>讨论认为当前海外市场回调为健康性调整，非周期性拐点，因货币政策转向未定、科技企业业绩强劲支撑市场，且科技产业节奏优于货币政策影响。需关注加息拐点确认及科技股业绩支撑，预计7-8月货币政策将更清晰，Q4市场节奏可能放缓。</w:t>
      </w:r>
    </w:p>
    <w:p>
      <w:r>
        <w:rPr>
          <w:rFonts w:ascii="等线(中文正文)" w:hAnsi="等线(中文正文)" w:cs="等线(中文正文)" w:eastAsia="等线(中文正文)"/>
          <w:b w:val="false"/>
          <w:i w:val="false"/>
          <w:sz w:val="20"/>
        </w:rPr>
        <w:t/>
      </w:r>
    </w:p>
    <w:p>
      <w:pPr>
        <w:pStyle w:val="ab"/>
        <w:numPr>
          <w:numId w:val="5"/>
        </w:numPr>
      </w:pPr>
      <w:r>
        <w:t>24:03 港股与美股市场趋势及投资策略分析</w:t>
      </w:r>
    </w:p>
    <w:p>
      <w:r>
        <w:rPr>
          <w:rFonts w:ascii="等线(中文正文)" w:hAnsi="等线(中文正文)" w:cs="等线(中文正文)" w:eastAsia="等线(中文正文)"/>
          <w:b w:val="false"/>
          <w:i w:val="false"/>
          <w:sz w:val="20"/>
        </w:rPr>
        <w:t>对话分析了美股和港股的市场节奏，指出11、12月市场偏休息状态，八月为全年可期待的时间节点。港股当前处于底部震荡，恒生科技的赔率较高，投资价值显现。港股市场受海外科技节奏和全球流动性影响较大，建议采用哑铃策略，兼顾防御与科技板块。若海外科技调整短期化，关注应用软件；若美国通胀数据反复，倾向于成长型行业如电信。</w:t>
      </w:r>
    </w:p>
    <w:p>
      <w:r>
        <w:rPr>
          <w:rFonts w:ascii="等线(中文正文)" w:hAnsi="等线(中文正文)" w:cs="等线(中文正文)" w:eastAsia="等线(中文正文)"/>
          <w:b w:val="false"/>
          <w:i w:val="false"/>
          <w:sz w:val="20"/>
        </w:rPr>
        <w:t/>
      </w:r>
    </w:p>
    <w:p>
      <w:pPr>
        <w:pStyle w:val="ab"/>
        <w:numPr>
          <w:numId w:val="6"/>
        </w:numPr>
      </w:pPr>
      <w:r>
        <w:t>29:10 市场行情分析与资产配置建议</w:t>
      </w:r>
    </w:p>
    <w:p>
      <w:r>
        <w:rPr>
          <w:rFonts w:ascii="等线(中文正文)" w:hAnsi="等线(中文正文)" w:cs="等线(中文正文)" w:eastAsia="等线(中文正文)"/>
          <w:b w:val="false"/>
          <w:i w:val="false"/>
          <w:sz w:val="20"/>
        </w:rPr>
        <w:t>对话围绕市场行情拐点的讨论，强调货币政策和产业结构对企业盈利的支撑作用，认为当前并非大周期拐点。建议资产配置顺序为美股、A股、港股，港股赔率吸引人，尤其在海外科技行情带动下。强调防御性和科技硬件软件的投资策略，同时保持对全球流动性指标的跟踪，以应对可能的市场波动。</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首先介绍了会议的基本情况和注意事项，明确指出电话会议仅面向机构投资者或受邀客户，发言内容不构成投资建议。随后，他分析了市场变化，强调近期市场对美联储加息的预期高涨，同时受到IT市场变动影响，市场不确定性增加。他指出，会议将探讨市场压力、值得关注的节点、全球流动性情况以及对美股和港股的预期。
他提到，过去一周全球市场，尤其是美股和港股，面临压力，市场波动加剧。美股三大指数均下跌，科技股领跌，反映出市场对AI信仰阶段性修正的担忧、美国强劲非农数据带来的降息预期降温以及宏观数据的不确定性。他认为，短期内市场波动或将持续，但整体上不认为市场已进入周期性拐点，而是处于健康性回调阶段，强调货币政策和产业基本面的重要性。
针对港股，他表示，港股当前处于底部震荡，与海外市场紧密相关，尤其是在科技股和国内经济方向上。他强调了在当前环境下对港股的相对乐观态度，并提出了港股投资策略，建议采取防御加科技或防御加电信的组合策略。
最后，他重申了对市场走势的总体看法，认为短期内市场波动将持续，但长期看市场尚未进入确认性拐点，呼吁投资者关注宏观经济数据和政策动向，保持对不同资产类别的动态分析。</w:t>
      </w:r>
    </w:p>
    <w:p>
      <w:r>
        <w:rPr>
          <w:rFonts w:ascii="等线(中文正文)" w:hAnsi="等线(中文正文)" w:cs="等线(中文正文)" w:eastAsia="等线(中文正文)"/>
          <w:b w:val="false"/>
          <w:i w:val="false"/>
          <w:sz w:val="20"/>
        </w:rPr>
        <w:t/>
      </w:r>
    </w:p>
    <w:p>
      <w:pPr>
        <w:pStyle w:val="a7"/>
      </w:pPr>
      <w:r>
        <w:t>要点回顾</w:t>
      </w:r>
    </w:p>
    <w:p>
      <w:pPr>
        <w:pStyle w:val="ab"/>
      </w:pPr>
      <w:r>
        <w:t>今晚我们主要想讨论什么内容？</w:t>
      </w:r>
    </w:p>
    <w:p>
      <w:r>
        <w:rPr>
          <w:rFonts w:ascii="等线(中文正文)" w:hAnsi="等线(中文正文)" w:cs="等线(中文正文)" w:eastAsia="等线(中文正文)"/>
          <w:b w:val="false"/>
          <w:i w:val="false"/>
          <w:sz w:val="20"/>
        </w:rPr>
        <w:t>发言人1：今晚我们主要想讨论的是近期市场对美联储加息预期的高涨，以及这一预期是否会对港股和海外市场产生短期影响还是具有拐点性质。我们的结论更偏向于它是一个结构性的扰动。</w:t>
      </w:r>
    </w:p>
    <w:p>
      <w:r>
        <w:rPr>
          <w:rFonts w:ascii="等线(中文正文)" w:hAnsi="等线(中文正文)" w:cs="等线(中文正文)" w:eastAsia="等线(中文正文)"/>
          <w:b w:val="false"/>
          <w:i w:val="false"/>
          <w:sz w:val="20"/>
        </w:rPr>
        <w:t/>
      </w:r>
    </w:p>
    <w:p>
      <w:pPr>
        <w:pStyle w:val="ab"/>
      </w:pPr>
      <w:r>
        <w:t>这次会议主要想分享哪些问题？</w:t>
      </w:r>
    </w:p>
    <w:p>
      <w:r>
        <w:rPr>
          <w:rFonts w:ascii="等线(中文正文)" w:hAnsi="等线(中文正文)" w:cs="等线(中文正文)" w:eastAsia="等线(中文正文)"/>
          <w:b w:val="false"/>
          <w:i w:val="false"/>
          <w:sz w:val="20"/>
        </w:rPr>
        <w:t>发言人1：本次会议主要想探讨的是六月份美股和港股可能面临的压力与问题，以及从全年维度看，有哪些重要的时间节点和下半年的整体策略变化。同时，也会更新大家对当前全球流动性位置的认识。</w:t>
      </w:r>
    </w:p>
    <w:p>
      <w:r>
        <w:rPr>
          <w:rFonts w:ascii="等线(中文正文)" w:hAnsi="等线(中文正文)" w:cs="等线(中文正文)" w:eastAsia="等线(中文正文)"/>
          <w:b w:val="false"/>
          <w:i w:val="false"/>
          <w:sz w:val="20"/>
        </w:rPr>
        <w:t/>
      </w:r>
    </w:p>
    <w:p>
      <w:pPr>
        <w:pStyle w:val="ab"/>
      </w:pPr>
      <w:r>
        <w:t>高老师将首先分享哪些内容？</w:t>
      </w:r>
    </w:p>
    <w:p>
      <w:r>
        <w:rPr>
          <w:rFonts w:ascii="等线(中文正文)" w:hAnsi="等线(中文正文)" w:cs="等线(中文正文)" w:eastAsia="等线(中文正文)"/>
          <w:b w:val="false"/>
          <w:i w:val="false"/>
          <w:sz w:val="20"/>
        </w:rPr>
        <w:t>发言人1：高老师将首先分享海外的一些数据，对美股的看法，并列举下周需要关注的一些事项。</w:t>
      </w:r>
    </w:p>
    <w:p>
      <w:r>
        <w:rPr>
          <w:rFonts w:ascii="等线(中文正文)" w:hAnsi="等线(中文正文)" w:cs="等线(中文正文)" w:eastAsia="等线(中文正文)"/>
          <w:b w:val="false"/>
          <w:i w:val="false"/>
          <w:sz w:val="20"/>
        </w:rPr>
        <w:t/>
      </w:r>
    </w:p>
    <w:p>
      <w:pPr>
        <w:pStyle w:val="ab"/>
      </w:pPr>
      <w:r>
        <w:t>过去一周全球市场表现如何？</w:t>
      </w:r>
    </w:p>
    <w:p>
      <w:r>
        <w:rPr>
          <w:rFonts w:ascii="等线(中文正文)" w:hAnsi="等线(中文正文)" w:cs="等线(中文正文)" w:eastAsia="等线(中文正文)"/>
          <w:b w:val="false"/>
          <w:i w:val="false"/>
          <w:sz w:val="20"/>
        </w:rPr>
        <w:t>发言人1：过去一周全球市场表现疲软，发达市场整体下跌2.2%，其中美股三大指数均出现下跌，纳指跌幅最大，达到4.7%。从行业层面来看，能源和医疗保健领涨，而可选消费和科技板块领跌。</w:t>
      </w:r>
    </w:p>
    <w:p>
      <w:r>
        <w:rPr>
          <w:rFonts w:ascii="等线(中文正文)" w:hAnsi="等线(中文正文)" w:cs="等线(中文正文)" w:eastAsia="等线(中文正文)"/>
          <w:b w:val="false"/>
          <w:i w:val="false"/>
          <w:sz w:val="20"/>
        </w:rPr>
        <w:t/>
      </w:r>
    </w:p>
    <w:p>
      <w:pPr>
        <w:pStyle w:val="ab"/>
      </w:pPr>
      <w:r>
        <w:t>本周美股承压的主要原因有哪些？</w:t>
      </w:r>
    </w:p>
    <w:p>
      <w:r>
        <w:rPr>
          <w:rFonts w:ascii="等线(中文正文)" w:hAnsi="等线(中文正文)" w:cs="等线(中文正文)" w:eastAsia="等线(中文正文)"/>
          <w:b w:val="false"/>
          <w:i w:val="false"/>
          <w:sz w:val="20"/>
        </w:rPr>
        <w:t>发言人1：本周美股承压主要有三个方面的原因：一是博通财报未能超预期且有技术瓶颈传闻，叠加meta增发担忧，引发了市场对AI信仰阶段性的修正；二是美国非农数据强劲，降息预期降温并开始转向年底加息的可能性；三是美国公布的制造业和服务业PMI数据分化，制造业连续两个月低于荣枯线，而服务业PMI回升至扩张区间。</w:t>
      </w:r>
    </w:p>
    <w:p>
      <w:r>
        <w:rPr>
          <w:rFonts w:ascii="等线(中文正文)" w:hAnsi="等线(中文正文)" w:cs="等线(中文正文)" w:eastAsia="等线(中文正文)"/>
          <w:b w:val="false"/>
          <w:i w:val="false"/>
          <w:sz w:val="20"/>
        </w:rPr>
        <w:t/>
      </w:r>
    </w:p>
    <w:p>
      <w:pPr>
        <w:pStyle w:val="ab"/>
      </w:pPr>
      <w:r>
        <w:t>美国强劲的非农数据对市场预期有何影响？</w:t>
      </w:r>
    </w:p>
    <w:p>
      <w:r>
        <w:rPr>
          <w:rFonts w:ascii="等线(中文正文)" w:hAnsi="等线(中文正文)" w:cs="等线(中文正文)" w:eastAsia="等线(中文正文)"/>
          <w:b w:val="false"/>
          <w:i w:val="false"/>
          <w:sz w:val="20"/>
        </w:rPr>
        <w:t>发言人1：美国强劲的非农数据严重打击了降息预期，导致十年期美债利率重新回到4.5%以上，美联储长期高利率风险增加，市场情绪转向避险，进一步加剧了科技股的去杠杆进程。</w:t>
      </w:r>
    </w:p>
    <w:p>
      <w:r>
        <w:rPr>
          <w:rFonts w:ascii="等线(中文正文)" w:hAnsi="等线(中文正文)" w:cs="等线(中文正文)" w:eastAsia="等线(中文正文)"/>
          <w:b w:val="false"/>
          <w:i w:val="false"/>
          <w:sz w:val="20"/>
        </w:rPr>
        <w:t/>
      </w:r>
    </w:p>
    <w:p>
      <w:pPr>
        <w:pStyle w:val="ab"/>
      </w:pPr>
      <w:r>
        <w:t>过去一周美国公布的制造业和服务业PMI具体数据如何？</w:t>
      </w:r>
    </w:p>
    <w:p>
      <w:r>
        <w:rPr>
          <w:rFonts w:ascii="等线(中文正文)" w:hAnsi="等线(中文正文)" w:cs="等线(中文正文)" w:eastAsia="等线(中文正文)"/>
          <w:b w:val="false"/>
          <w:i w:val="false"/>
          <w:sz w:val="20"/>
        </w:rPr>
        <w:t>发言人1：5月份美国制造业PMI为48.7，低于预期并连续两个月低于50的荣枯线；新订单指数降至45.4，显示出需求端疲软。而服务业PMI为53.8，超过预期且重回扩张区间，新订单指数快速回升，表明消费者在服务领域的支出仍具韧性。</w:t>
      </w:r>
    </w:p>
    <w:p>
      <w:r>
        <w:rPr>
          <w:rFonts w:ascii="等线(中文正文)" w:hAnsi="等线(中文正文)" w:cs="等线(中文正文)" w:eastAsia="等线(中文正文)"/>
          <w:b w:val="false"/>
          <w:i w:val="false"/>
          <w:sz w:val="20"/>
        </w:rPr>
        <w:t/>
      </w:r>
    </w:p>
    <w:p>
      <w:pPr>
        <w:pStyle w:val="ab"/>
      </w:pPr>
      <w:r>
        <w:t>在接下来的几周内，有哪些事件可能会对美股产生影响，导致阶段性见顶或利空出现后的反弹？</w:t>
      </w:r>
    </w:p>
    <w:p>
      <w:r>
        <w:rPr>
          <w:rFonts w:ascii="等线(中文正文)" w:hAnsi="等线(中文正文)" w:cs="等线(中文正文)" w:eastAsia="等线(中文正文)"/>
          <w:b w:val="false"/>
          <w:i w:val="false"/>
          <w:sz w:val="20"/>
        </w:rPr>
        <w:t>发言人1：接下来有三个事件可能会对美股产生影响。首先，通胀数据方面，如果环比持续维持在0.5%以上，可能会带来超预期的非农表现，并且服务业PMI和制造业TMI中的价格指数形成共振，进而推升长端美债利率保持高位震荡，对高估值科技股的定价分母端造成持续承压，可能导致调整持续。其次，6月11号SpaceX上市，市场担心其高额估值带来的抽血效应，尤其是它可能在短期内被纳入纳指100指数，这会在被纳入前后的15个交易日内对市场形成一定托底作用，但之后可能会引发持续性的深幅度调整。最后，6月17号的美联储议息会议，尽管市场普遍预期其将采取鹰派政策，但主席的新观察通账指标标准（结尾平均通胀）目前较为稳定，若其在议息会议上表现出抗通胀姿态，可能会彻底消除下半年降息的幻想。</w:t>
      </w:r>
    </w:p>
    <w:p>
      <w:r>
        <w:rPr>
          <w:rFonts w:ascii="等线(中文正文)" w:hAnsi="等线(中文正文)" w:cs="等线(中文正文)" w:eastAsia="等线(中文正文)"/>
          <w:b w:val="false"/>
          <w:i w:val="false"/>
          <w:sz w:val="20"/>
        </w:rPr>
        <w:t/>
      </w:r>
    </w:p>
    <w:p>
      <w:pPr>
        <w:pStyle w:val="ab"/>
      </w:pPr>
      <w:r>
        <w:t>对于美联储主席在首次议息会议上的表态，市场有何预期？</w:t>
      </w:r>
    </w:p>
    <w:p>
      <w:r>
        <w:rPr>
          <w:rFonts w:ascii="等线(中文正文)" w:hAnsi="等线(中文正文)" w:cs="等线(中文正文)" w:eastAsia="等线(中文正文)"/>
          <w:b w:val="false"/>
          <w:i w:val="false"/>
          <w:sz w:val="20"/>
        </w:rPr>
        <w:t>发言人1：市场急需验证美联储主席鹰派还是鸽派的底色。若他在面对过热数据时展现出强烈的抗通胀态度，则会确认市场对鹰派政策的预期；但如果他的表态不构成加息或特别鹰派预期，市场将维持对其鸽派倾向的信心。</w:t>
      </w:r>
    </w:p>
    <w:p>
      <w:r>
        <w:rPr>
          <w:rFonts w:ascii="等线(中文正文)" w:hAnsi="等线(中文正文)" w:cs="等线(中文正文)" w:eastAsia="等线(中文正文)"/>
          <w:b w:val="false"/>
          <w:i w:val="false"/>
          <w:sz w:val="20"/>
        </w:rPr>
        <w:t/>
      </w:r>
    </w:p>
    <w:p>
      <w:pPr>
        <w:pStyle w:val="ab"/>
      </w:pPr>
      <w:r>
        <w:t>当前影响美股的主要不确定性和风险点有哪些？</w:t>
      </w:r>
    </w:p>
    <w:p>
      <w:r>
        <w:rPr>
          <w:rFonts w:ascii="等线(中文正文)" w:hAnsi="等线(中文正文)" w:cs="等线(中文正文)" w:eastAsia="等线(中文正文)"/>
          <w:b w:val="false"/>
          <w:i w:val="false"/>
          <w:sz w:val="20"/>
        </w:rPr>
        <w:t>发言人1：当前美股面临三大不确定性，分别是通胀数据、SpaceX上市带来的抽血效应以及美联储议息会议的政策决策。这三个核心事件从宏观流动性、微观风险偏好和货币层次三个维度对市场造成极限压力，导致美股波动率上升。</w:t>
      </w:r>
    </w:p>
    <w:p>
      <w:r>
        <w:rPr>
          <w:rFonts w:ascii="等线(中文正文)" w:hAnsi="等线(中文正文)" w:cs="等线(中文正文)" w:eastAsia="等线(中文正文)"/>
          <w:b w:val="false"/>
          <w:i w:val="false"/>
          <w:sz w:val="20"/>
        </w:rPr>
        <w:t/>
      </w:r>
    </w:p>
    <w:p>
      <w:pPr>
        <w:pStyle w:val="ab"/>
      </w:pPr>
      <w:r>
        <w:t>最新全球流动性的数据情况如何？</w:t>
      </w:r>
    </w:p>
    <w:p>
      <w:r>
        <w:rPr>
          <w:rFonts w:ascii="等线(中文正文)" w:hAnsi="等线(中文正文)" w:cs="等线(中文正文)" w:eastAsia="等线(中文正文)"/>
          <w:b w:val="false"/>
          <w:i w:val="false"/>
          <w:sz w:val="20"/>
        </w:rPr>
        <w:t>发言人1：最新数据显示，全球流动性指标从上一周的48.83上升至49.24，整体呈现小幅上升趋势。其中，市场反馈层因油价大幅上涨而明显上行，而总量水位、融资成本层、跨市场传导层均保持相对平稳或有所下降。这表明目前整体流动性并非全面收紧，而是价格端出现了新的风险点。</w:t>
      </w:r>
    </w:p>
    <w:p>
      <w:r>
        <w:rPr>
          <w:rFonts w:ascii="等线(中文正文)" w:hAnsi="等线(中文正文)" w:cs="等线(中文正文)" w:eastAsia="等线(中文正文)"/>
          <w:b w:val="false"/>
          <w:i w:val="false"/>
          <w:sz w:val="20"/>
        </w:rPr>
        <w:t/>
      </w:r>
    </w:p>
    <w:p>
      <w:pPr>
        <w:pStyle w:val="ab"/>
      </w:pPr>
      <w:r>
        <w:t>对于当前海外市场节奏的看法是什么？</w:t>
      </w:r>
    </w:p>
    <w:p>
      <w:r>
        <w:rPr>
          <w:rFonts w:ascii="等线(中文正文)" w:hAnsi="等线(中文正文)" w:cs="等线(中文正文)" w:eastAsia="等线(中文正文)"/>
          <w:b w:val="false"/>
          <w:i w:val="false"/>
          <w:sz w:val="20"/>
        </w:rPr>
        <w:t>发言人1：我们认为现在并不构成确认性的周期性拐点，而是一个偏健康的回调阶段。原因在于货币政策周期尚未确认转向，即使市场预期美联储可能在十月份开始加息，但由于新联储主席采取不同于预期交易的方式，基于结尾通胀数据做出决策，即使短期数据表现不佳，也可能有降息的理由。此外，美国科技企业的强劲业绩支撑了市场，当前还不能断言科技行业处于极度泡沫化阶段，但产业周期拐点可能很快到来，例如明年一季度财报的表现将更为明确。</w:t>
      </w:r>
    </w:p>
    <w:p>
      <w:r>
        <w:rPr>
          <w:rFonts w:ascii="等线(中文正文)" w:hAnsi="等线(中文正文)" w:cs="等线(中文正文)" w:eastAsia="等线(中文正文)"/>
          <w:b w:val="false"/>
          <w:i w:val="false"/>
          <w:sz w:val="20"/>
        </w:rPr>
        <w:t/>
      </w:r>
    </w:p>
    <w:p>
      <w:pPr>
        <w:pStyle w:val="ab"/>
      </w:pPr>
      <w:r>
        <w:t>在当前周期中，产业节奏和货币政策哪个更重要？</w:t>
      </w:r>
    </w:p>
    <w:p>
      <w:r>
        <w:rPr>
          <w:rFonts w:ascii="等线(中文正文)" w:hAnsi="等线(中文正文)" w:cs="等线(中文正文)" w:eastAsia="等线(中文正文)"/>
          <w:b w:val="false"/>
          <w:i w:val="false"/>
          <w:sz w:val="20"/>
        </w:rPr>
        <w:t>发言人1：在当前周期中，科技产业的节奏和业绩支撑力度明显强于前两个周期，因此产业节奏更为关键。尽管货币政策转向会影响市场波动节奏，但其决定性作用尚未确认，市场还需观察加息拐点及加息幅度。</w:t>
      </w:r>
    </w:p>
    <w:p>
      <w:r>
        <w:rPr>
          <w:rFonts w:ascii="等线(中文正文)" w:hAnsi="等线(中文正文)" w:cs="等线(中文正文)" w:eastAsia="等线(中文正文)"/>
          <w:b w:val="false"/>
          <w:i w:val="false"/>
          <w:sz w:val="20"/>
        </w:rPr>
        <w:t/>
      </w:r>
    </w:p>
    <w:p>
      <w:pPr>
        <w:pStyle w:val="ab"/>
      </w:pPr>
      <w:r>
        <w:t>现阶段货币政策对市场的影响为何不被视为确定性的拐点？对于未来几个月市场走势的预期是怎样的？</w:t>
      </w:r>
    </w:p>
    <w:p>
      <w:r>
        <w:rPr>
          <w:rFonts w:ascii="等线(中文正文)" w:hAnsi="等线(中文正文)" w:cs="等线(中文正文)" w:eastAsia="等线(中文正文)"/>
          <w:b w:val="false"/>
          <w:i w:val="false"/>
          <w:sz w:val="20"/>
        </w:rPr>
        <w:t>发言人1：因为货币政策目前无法确认是否出现加息拐点，且产业业绩支撑强劲，企业盈利增速能在现阶段抵消付息压力。此外，市场对于美联储未来的政策沟通和决策存在不确定性，尤其是6月的数据反复和联储表态将对市场产生节奏性影响。六月份是市场关注的重要时间节点，新联储如何与市场沟通其鹰派立场或给出中性预期尚不明确。七八月份行情可能有所好转，货币政策的影响届时会更为清晰；而在Q4阶段，市场节奏可能会放缓，尤其是若九月份没有明确宽松信号，即使年底宽松，其意义相对有限。</w:t>
      </w:r>
    </w:p>
    <w:p>
      <w:r>
        <w:rPr>
          <w:rFonts w:ascii="等线(中文正文)" w:hAnsi="等线(中文正文)" w:cs="等线(中文正文)" w:eastAsia="等线(中文正文)"/>
          <w:b w:val="false"/>
          <w:i w:val="false"/>
          <w:sz w:val="20"/>
        </w:rPr>
        <w:t/>
      </w:r>
    </w:p>
    <w:p>
      <w:pPr>
        <w:pStyle w:val="ab"/>
      </w:pPr>
      <w:r>
        <w:t>美股、港股和A股在接下来几个月的投资建议是什么？对于港股投资策略有何建议？</w:t>
      </w:r>
    </w:p>
    <w:p>
      <w:r>
        <w:rPr>
          <w:rFonts w:ascii="等线(中文正文)" w:hAnsi="等线(中文正文)" w:cs="等线(中文正文)" w:eastAsia="等线(中文正文)"/>
          <w:b w:val="false"/>
          <w:i w:val="false"/>
          <w:sz w:val="20"/>
        </w:rPr>
        <w:t>发言人1：现阶段不认为是全面拐点，美股和A股可能在11月或12月进入休息或收尾阶段。港股方面，由于其底部震荡，赔率逐渐提高，尤其在科技节奏未发生彻底转向的情况下，有望与海外同步受益于AI扩散带来的趋势性机会，同时受益于国内部分行业景气度的轮动，整体上港股的促涨因素在逐步积累，但节奏仍受海外影响较大。港股采取哑铃策略，一方面配置防御性较强的宏利资产（如红米），另一方面配置科技相关板块，具体可根据南向资金情况和风险承受度来灵活调整投资组合。</w:t>
      </w:r>
    </w:p>
    <w:p>
      <w:r>
        <w:rPr>
          <w:rFonts w:ascii="等线(中文正文)" w:hAnsi="等线(中文正文)" w:cs="等线(中文正文)" w:eastAsia="等线(中文正文)"/>
          <w:b w:val="false"/>
          <w:i w:val="false"/>
          <w:sz w:val="20"/>
        </w:rPr>
        <w:t/>
      </w:r>
    </w:p>
    <w:p>
      <w:pPr>
        <w:pStyle w:val="ab"/>
      </w:pPr>
      <w:r>
        <w:t>在海外科技调整节奏方面，除了硬件外，是否应关注应用软件，并且在配置上如何考虑监管和国内股票的影响？</w:t>
      </w:r>
    </w:p>
    <w:p>
      <w:r>
        <w:rPr>
          <w:rFonts w:ascii="等线(中文正文)" w:hAnsi="等线(中文正文)" w:cs="等线(中文正文)" w:eastAsia="等线(中文正文)"/>
          <w:b w:val="false"/>
          <w:i w:val="false"/>
          <w:sz w:val="20"/>
        </w:rPr>
        <w:t>发言人1：是的，除了硬件之外，关注应用软件也是可以的，但需要结合监管政策以及国内股票的表现来判断。此外，若六月份和九月美国通胀数据以及美债波动加剧，港股可能会承受较大压力，而这种压力相比美股反弹节奏更为持久。</w:t>
      </w:r>
    </w:p>
    <w:p>
      <w:r>
        <w:rPr>
          <w:rFonts w:ascii="等线(中文正文)" w:hAnsi="等线(中文正文)" w:cs="等线(中文正文)" w:eastAsia="等线(中文正文)"/>
          <w:b w:val="false"/>
          <w:i w:val="false"/>
          <w:sz w:val="20"/>
        </w:rPr>
        <w:t/>
      </w:r>
    </w:p>
    <w:p>
      <w:pPr>
        <w:pStyle w:val="ab"/>
      </w:pPr>
      <w:r>
        <w:t>对于当前市场行情是否为拐点的问题，您的看法是什么？</w:t>
      </w:r>
    </w:p>
    <w:p>
      <w:r>
        <w:rPr>
          <w:rFonts w:ascii="等线(中文正文)" w:hAnsi="等线(中文正文)" w:cs="等线(中文正文)" w:eastAsia="等线(中文正文)"/>
          <w:b w:val="false"/>
          <w:i w:val="false"/>
          <w:sz w:val="20"/>
        </w:rPr>
        <w:t>发言人1：我不认为当前市场行情是一个大周期拐点。原因在于货币政策周期尚未确认拐点，尽管存在加息预期，但实际加息动作还未明确；从产业结构看，企业盈利对市场行情有较强支撑；且现阶段担忧的拐点更多是由产业基本面节奏决定，而非货币政策。</w:t>
      </w:r>
    </w:p>
    <w:p>
      <w:r>
        <w:rPr>
          <w:rFonts w:ascii="等线(中文正文)" w:hAnsi="等线(中文正文)" w:cs="等线(中文正文)" w:eastAsia="等线(中文正文)"/>
          <w:b w:val="false"/>
          <w:i w:val="false"/>
          <w:sz w:val="20"/>
        </w:rPr>
        <w:t/>
      </w:r>
    </w:p>
    <w:p>
      <w:pPr>
        <w:pStyle w:val="ab"/>
      </w:pPr>
      <w:r>
        <w:t>全球流动性指标方面，目前处于怎样的状态？</w:t>
      </w:r>
    </w:p>
    <w:p>
      <w:r>
        <w:rPr>
          <w:rFonts w:ascii="等线(中文正文)" w:hAnsi="等线(中文正文)" w:cs="等线(中文正文)" w:eastAsia="等线(中文正文)"/>
          <w:b w:val="false"/>
          <w:i w:val="false"/>
          <w:sz w:val="20"/>
        </w:rPr>
        <w:t>发言人1：目前全球流动性指标并未出现明显紧张信号，市场反馈较为敏感，预期交易增多。目前流动性处于历史周期中的不紧不松状态，可能出现反复震荡，只要股市基本面没有大问题，就不会产生实质性影响。</w:t>
      </w:r>
    </w:p>
    <w:p>
      <w:r>
        <w:rPr>
          <w:rFonts w:ascii="等线(中文正文)" w:hAnsi="等线(中文正文)" w:cs="等线(中文正文)" w:eastAsia="等线(中文正文)"/>
          <w:b w:val="false"/>
          <w:i w:val="false"/>
          <w:sz w:val="20"/>
        </w:rPr>
        <w:t/>
      </w:r>
    </w:p>
    <w:p>
      <w:pPr>
        <w:pStyle w:val="ab"/>
      </w:pPr>
      <w:r>
        <w:t>对于各个资产的排序是怎样的？</w:t>
      </w:r>
    </w:p>
    <w:p>
      <w:r>
        <w:rPr>
          <w:rFonts w:ascii="等线(中文正文)" w:hAnsi="等线(中文正文)" w:cs="等线(中文正文)" w:eastAsia="等线(中文正文)"/>
          <w:b w:val="false"/>
          <w:i w:val="false"/>
          <w:sz w:val="20"/>
        </w:rPr>
        <w:t>发言人1：资产排序为美股为首，然后是A股和港股。</w:t>
      </w:r>
    </w:p>
    <w:p>
      <w:r>
        <w:rPr>
          <w:rFonts w:ascii="等线(中文正文)" w:hAnsi="等线(中文正文)" w:cs="等线(中文正文)" w:eastAsia="等线(中文正文)"/>
          <w:b w:val="false"/>
          <w:i w:val="false"/>
          <w:sz w:val="20"/>
        </w:rPr>
        <w:t/>
      </w:r>
    </w:p>
    <w:p>
      <w:pPr>
        <w:pStyle w:val="ab"/>
      </w:pPr>
      <w:r>
        <w:t>对于港股市场的看法及其配置建议是什么？</w:t>
      </w:r>
    </w:p>
    <w:p>
      <w:r>
        <w:rPr>
          <w:rFonts w:ascii="等线(中文正文)" w:hAnsi="等线(中文正文)" w:cs="等线(中文正文)" w:eastAsia="等线(中文正文)"/>
          <w:b w:val="false"/>
          <w:i w:val="false"/>
          <w:sz w:val="20"/>
        </w:rPr>
        <w:t>发言人1：现阶段港股赔率不错，可能受到海外科技行情及国内非科技方向的共振促涨。恒生科技指数自年初以来涨幅仍有10%到15%的空间。在不同情形下，如果偏中性乐观，则推荐防御加科技硬件软件；若出现数据不及预期或美债收益率高位长时间扰动，则更倾向于防御和电讯行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2026-06-08T13:56:02Z</dcterms:created>
  <dc:creator>Apache POI</dc:creator>
</cp:coreProperties>
</file>