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银河总量之声 _ 三大视角全域市场解析 260608_导读</w:t>
      </w:r>
    </w:p>
    <w:p>
      <w:pPr>
        <w:pStyle w:val="a0"/>
        <w:jc w:val="center"/>
      </w:pPr>
      <w:r>
        <w:t>2026年06月08日 21:49</w:t>
      </w:r>
    </w:p>
    <w:p>
      <w:pPr>
        <w:pStyle w:val="a7"/>
      </w:pPr>
      <w:r>
        <w:t>关键词</w:t>
      </w:r>
    </w:p>
    <w:p>
      <w:r>
        <w:rPr>
          <w:rFonts w:ascii="等线(中文正文)" w:hAnsi="等线(中文正文)" w:cs="等线(中文正文)" w:eastAsia="等线(中文正文)"/>
          <w:b w:val="false"/>
          <w:i w:val="false"/>
          <w:sz w:val="20"/>
        </w:rPr>
        <w:t xml:space="preserve">非农数据 劳动市场 就业 通胀 薪资增速 消费 降息 失业率 兼职就业 劳动参与率 实际收入 经济周期 周期部门 总劳动人口 可支配收入 招聘意愿 服务通胀 劳动年龄人口 周期项目 美联储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银河证券分析师团队对当前全球经济形势及中国市场进行了深入分析。美国劳动市场显示出复杂态势，非农数据虽可能引起市场波动，但劳动市场整体信号不明，通胀压力不大，短期内降息可能性不大。美国经济面临供给侧限制和需求侧问题的双重挑战。在A股市场，分析师指出市场波动与板块轮动显著，强调在人工智能、基础设施建设等政策支持领域中寻找投资机会。谈及公募REITs市场，他们指出尽管近期发行规模引发短期估值调整，但长期投资价值依旧，尤其看好仓储物流和产业园区等细分领域。此次分析为投资者提供了全面的市场洞察和投资策略建议。</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美国非农数据引发市场震荡及对劳动市场分析</w:t>
      </w:r>
    </w:p>
    <w:p>
      <w:r>
        <w:rPr>
          <w:rFonts w:ascii="等线(中文正文)" w:hAnsi="等线(中文正文)" w:cs="等线(中文正文)" w:eastAsia="等线(中文正文)"/>
          <w:b w:val="false"/>
          <w:i w:val="false"/>
          <w:sz w:val="20"/>
        </w:rPr>
        <w:t>上周五美国公布的非农数据虽引发全球市场震荡，但市场脆弱性主要源于AI过度上涨和杠杆过高。分析认为，劳动市场信号模糊，未见持续恢复迹象，通胀压力不大，短期内不考虑因劳动市场走弱而降息。即便非农数据偏强，美联储年内降息可能性较低，可能仅一次左右。</w:t>
      </w:r>
    </w:p>
    <w:p>
      <w:r>
        <w:rPr>
          <w:rFonts w:ascii="等线(中文正文)" w:hAnsi="等线(中文正文)" w:cs="等线(中文正文)" w:eastAsia="等线(中文正文)"/>
          <w:b w:val="false"/>
          <w:i w:val="false"/>
          <w:sz w:val="20"/>
        </w:rPr>
        <w:t/>
      </w:r>
    </w:p>
    <w:p>
      <w:pPr>
        <w:pStyle w:val="ab"/>
        <w:numPr>
          <w:numId w:val="2"/>
        </w:numPr>
      </w:pPr>
      <w:r>
        <w:t>01:44 美国劳动市场现状与挑战</w:t>
      </w:r>
    </w:p>
    <w:p>
      <w:r>
        <w:rPr>
          <w:rFonts w:ascii="等线(中文正文)" w:hAnsi="等线(中文正文)" w:cs="等线(中文正文)" w:eastAsia="等线(中文正文)"/>
          <w:b w:val="false"/>
          <w:i w:val="false"/>
          <w:sz w:val="20"/>
        </w:rPr>
        <w:t>美国劳动市场整体处于偏紧平衡状态，供给侧持续偏弱，非法移民减少导致劳动参与率低，就业人数增长缓慢。需求侧受通胀、收入不足及经济分化影响，周期部门表现不佳，薪资增速下行，招聘意愿低迷。居民劳动人口增速下降，总工资收入无明显改善，实际收入偏弱。AI对劳动市场影响有限，软件开发招聘未受明显不良影响。</w:t>
      </w:r>
    </w:p>
    <w:p>
      <w:r>
        <w:rPr>
          <w:rFonts w:ascii="等线(中文正文)" w:hAnsi="等线(中文正文)" w:cs="等线(中文正文)" w:eastAsia="等线(中文正文)"/>
          <w:b w:val="false"/>
          <w:i w:val="false"/>
          <w:sz w:val="20"/>
        </w:rPr>
        <w:t/>
      </w:r>
    </w:p>
    <w:p>
      <w:pPr>
        <w:pStyle w:val="ab"/>
        <w:numPr>
          <w:numId w:val="3"/>
        </w:numPr>
      </w:pPr>
      <w:r>
        <w:t>04:29 AI与就业：劳动市场动态分析</w:t>
      </w:r>
    </w:p>
    <w:p>
      <w:r>
        <w:rPr>
          <w:rFonts w:ascii="等线(中文正文)" w:hAnsi="等线(中文正文)" w:cs="等线(中文正文)" w:eastAsia="等线(中文正文)"/>
          <w:b w:val="false"/>
          <w:i w:val="false"/>
          <w:sz w:val="20"/>
        </w:rPr>
        <w:t>讨论了AI对就业影响的不确定性，指出劳动市场变化缓慢。分析了五月份非农就业数据，强调劳动市场整体仍偏弱，但有边际改善。教育保健、休闲酒店和地方政府就业增长显著，但政府岗位波动性大。家庭调查数据表明全职就业减少，兼职就业增加，失业率稳定，显示劳动市场复杂性。</w:t>
      </w:r>
    </w:p>
    <w:p>
      <w:r>
        <w:rPr>
          <w:rFonts w:ascii="等线(中文正文)" w:hAnsi="等线(中文正文)" w:cs="等线(中文正文)" w:eastAsia="等线(中文正文)"/>
          <w:b w:val="false"/>
          <w:i w:val="false"/>
          <w:sz w:val="20"/>
        </w:rPr>
        <w:t/>
      </w:r>
    </w:p>
    <w:p>
      <w:pPr>
        <w:pStyle w:val="ab"/>
        <w:numPr>
          <w:numId w:val="4"/>
        </w:numPr>
      </w:pPr>
      <w:r>
        <w:t>07:28 美国非农就业数据与家庭就业数据的矛盾分析</w:t>
      </w:r>
    </w:p>
    <w:p>
      <w:r>
        <w:rPr>
          <w:rFonts w:ascii="等线(中文正文)" w:hAnsi="等线(中文正文)" w:cs="等线(中文正文)" w:eastAsia="等线(中文正文)"/>
          <w:b w:val="false"/>
          <w:i w:val="false"/>
          <w:sz w:val="20"/>
        </w:rPr>
        <w:t>讨论了美国非农就业数据与家庭就业数据之间的显著差异，指出非农就业统计可能包含兼职人员的重复计算，特别是在大型活动如世界杯期间。分析了小企业招聘意愿指数、SM和标普指数等高频数据与非农数据的不匹配，以及劳动参与率下降对收入增速的影响，认为实际薪资增长疲软不利于消费和服务通胀。</w:t>
      </w:r>
    </w:p>
    <w:p>
      <w:r>
        <w:rPr>
          <w:rFonts w:ascii="等线(中文正文)" w:hAnsi="等线(中文正文)" w:cs="等线(中文正文)" w:eastAsia="等线(中文正文)"/>
          <w:b w:val="false"/>
          <w:i w:val="false"/>
          <w:sz w:val="20"/>
        </w:rPr>
        <w:t/>
      </w:r>
    </w:p>
    <w:p>
      <w:pPr>
        <w:pStyle w:val="ab"/>
        <w:numPr>
          <w:numId w:val="5"/>
        </w:numPr>
      </w:pPr>
      <w:r>
        <w:t>11:34 美国经济现状与通胀预测分析</w:t>
      </w:r>
    </w:p>
    <w:p>
      <w:r>
        <w:rPr>
          <w:rFonts w:ascii="等线(中文正文)" w:hAnsi="等线(中文正文)" w:cs="等线(中文正文)" w:eastAsia="等线(中文正文)"/>
          <w:b w:val="false"/>
          <w:i w:val="false"/>
          <w:sz w:val="20"/>
        </w:rPr>
        <w:t>对话深入探讨了美国当前经济状况，指出劳动市场表现矛盾、通胀压力有限、经济周期缺乏广度等问题。分析认为，美国经济未展现明显周期性，消费下滑、地产与建筑行业负增长，整体经济状况需谨慎看待。预计今年通胀较高可能预示明年通缩风险，美联储应保持数据依赖，短期按兵不动，长期加息风险或被过度定价。未来流动性预期恢复值得期待，但市场可能面临回调风险。</w:t>
      </w:r>
    </w:p>
    <w:p>
      <w:r>
        <w:rPr>
          <w:rFonts w:ascii="等线(中文正文)" w:hAnsi="等线(中文正文)" w:cs="等线(中文正文)" w:eastAsia="等线(中文正文)"/>
          <w:b w:val="false"/>
          <w:i w:val="false"/>
          <w:sz w:val="20"/>
        </w:rPr>
        <w:t/>
      </w:r>
    </w:p>
    <w:p>
      <w:pPr>
        <w:pStyle w:val="ab"/>
        <w:numPr>
          <w:numId w:val="6"/>
        </w:numPr>
      </w:pPr>
      <w:r>
        <w:t>14:14 A股市场走势与外部风险分析</w:t>
      </w:r>
    </w:p>
    <w:p>
      <w:r>
        <w:rPr>
          <w:rFonts w:ascii="等线(中文正文)" w:hAnsi="等线(中文正文)" w:cs="等线(中文正文)" w:eastAsia="等线(中文正文)"/>
          <w:b w:val="false"/>
          <w:i w:val="false"/>
          <w:sz w:val="20"/>
        </w:rPr>
        <w:t>分享近期A股市场走势及后续展望，指出市场正经历正常分化加速，交易拥挤度高，科技主线短期资金分歧加大。分析外部风险，包括美国加息预期升温对市场构成阶段性扰动，及中东局势对全球原油和大宗商品定价环境的扰动，强调市场快速轮动中需关注高景气和超跌板块。</w:t>
      </w:r>
    </w:p>
    <w:p>
      <w:r>
        <w:rPr>
          <w:rFonts w:ascii="等线(中文正文)" w:hAnsi="等线(中文正文)" w:cs="等线(中文正文)" w:eastAsia="等线(中文正文)"/>
          <w:b w:val="false"/>
          <w:i w:val="false"/>
          <w:sz w:val="20"/>
        </w:rPr>
        <w:t/>
      </w:r>
    </w:p>
    <w:p>
      <w:pPr>
        <w:pStyle w:val="ab"/>
        <w:numPr>
          <w:numId w:val="7"/>
        </w:numPr>
      </w:pPr>
      <w:r>
        <w:t>17:59 行业景气预期与市场调整分析</w:t>
      </w:r>
    </w:p>
    <w:p>
      <w:r>
        <w:rPr>
          <w:rFonts w:ascii="等线(中文正文)" w:hAnsi="等线(中文正文)" w:cs="等线(中文正文)" w:eastAsia="等线(中文正文)"/>
          <w:b w:val="false"/>
          <w:i w:val="false"/>
          <w:sz w:val="20"/>
        </w:rPr>
        <w:t>对话探讨了市场调整的内外部因素，包括AI业绩指引不及预期和美联储加息预期升温，以及由此引发的市场情绪传导和行业景气预期的修正。尽管短期内市场出现回调，但AI产业长期趋势未变，科技巨头持续加大投入，后续行业景气度和盈利增长的持续性将对中期行情走势具有重要指示意义。</w:t>
      </w:r>
    </w:p>
    <w:p>
      <w:r>
        <w:rPr>
          <w:rFonts w:ascii="等线(中文正文)" w:hAnsi="等线(中文正文)" w:cs="等线(中文正文)" w:eastAsia="等线(中文正文)"/>
          <w:b w:val="false"/>
          <w:i w:val="false"/>
          <w:sz w:val="20"/>
        </w:rPr>
        <w:t/>
      </w:r>
    </w:p>
    <w:p>
      <w:pPr>
        <w:pStyle w:val="ab"/>
        <w:numPr>
          <w:numId w:val="8"/>
        </w:numPr>
      </w:pPr>
      <w:r>
        <w:t>20:30 政策导向下的资金配置与市场趋势分析</w:t>
      </w:r>
    </w:p>
    <w:p>
      <w:r>
        <w:rPr>
          <w:rFonts w:ascii="等线(中文正文)" w:hAnsi="等线(中文正文)" w:cs="等线(中文正文)" w:eastAsia="等线(中文正文)"/>
          <w:b w:val="false"/>
          <w:i w:val="false"/>
          <w:sz w:val="20"/>
        </w:rPr>
        <w:t>当前政策空窗期中，监管导向影响资金配置逻辑，政策扶持与业绩支撑优质企业受关注。科技轮动与防御配置均衡布局策略被强调，重点包括科技方向内部轮动、防御性底仓配置价值及受益于产品涨价与业绩修复的板块。政策导向下，资金有望向政策扶持与优质赛道倾斜，市场短期内处于震荡轮动阶段。</w:t>
      </w:r>
    </w:p>
    <w:p>
      <w:r>
        <w:rPr>
          <w:rFonts w:ascii="等线(中文正文)" w:hAnsi="等线(中文正文)" w:cs="等线(中文正文)" w:eastAsia="等线(中文正文)"/>
          <w:b w:val="false"/>
          <w:i w:val="false"/>
          <w:sz w:val="20"/>
        </w:rPr>
        <w:t/>
      </w:r>
    </w:p>
    <w:p>
      <w:pPr>
        <w:pStyle w:val="ab"/>
        <w:numPr>
          <w:numId w:val="9"/>
        </w:numPr>
      </w:pPr>
      <w:r>
        <w:t>24:17 商业不动产REITs供给冲击与市场反应分析</w:t>
      </w:r>
    </w:p>
    <w:p>
      <w:r>
        <w:rPr>
          <w:rFonts w:ascii="等线(中文正文)" w:hAnsi="等线(中文正文)" w:cs="等线(中文正文)" w:eastAsia="等线(中文正文)"/>
          <w:b w:val="false"/>
          <w:i w:val="false"/>
          <w:sz w:val="20"/>
        </w:rPr>
        <w:t>讨论了近期商业不动产REITs市场因供给冲击导致的剧烈波动，分析了供给预期变化、政策博弈对市场的影响，以及险资缺席、其他机构加仓打新对二级市场资金流动的加剧，指出未来扩容预期持续压制市场风险偏好，建议采取均衡布局策略。</w:t>
      </w:r>
    </w:p>
    <w:p>
      <w:r>
        <w:rPr>
          <w:rFonts w:ascii="等线(中文正文)" w:hAnsi="等线(中文正文)" w:cs="等线(中文正文)" w:eastAsia="等线(中文正文)"/>
          <w:b w:val="false"/>
          <w:i w:val="false"/>
          <w:sz w:val="20"/>
        </w:rPr>
        <w:t/>
      </w:r>
    </w:p>
    <w:p>
      <w:pPr>
        <w:pStyle w:val="ab"/>
        <w:numPr>
          <w:numId w:val="10"/>
        </w:numPr>
      </w:pPr>
      <w:r>
        <w:t>31:56 商业资产供给与政策支持影响市场修复</w:t>
      </w:r>
    </w:p>
    <w:p>
      <w:r>
        <w:rPr>
          <w:rFonts w:ascii="等线(中文正文)" w:hAnsi="等线(中文正文)" w:cs="等线(中文正文)" w:eastAsia="等线(中文正文)"/>
          <w:b w:val="false"/>
          <w:i w:val="false"/>
          <w:sz w:val="20"/>
        </w:rPr>
        <w:t>对话讨论了商业资产供给对市场的冲击，以及监管政策对市场修复的重要性。短期内，市场已消化供给压力，未来行情修复的核心驱动在于长线增量资金入市及配套政策落地。重点关注保险资金入市节点和瑞士指数基金获批时间，预计7-8月政策集中落地，将推动市场持续修复。</w:t>
      </w:r>
    </w:p>
    <w:p>
      <w:r>
        <w:rPr>
          <w:rFonts w:ascii="等线(中文正文)" w:hAnsi="等线(中文正文)" w:cs="等线(中文正文)" w:eastAsia="等线(中文正文)"/>
          <w:b w:val="false"/>
          <w:i w:val="false"/>
          <w:sz w:val="20"/>
        </w:rPr>
        <w:t/>
      </w:r>
    </w:p>
    <w:p>
      <w:pPr>
        <w:pStyle w:val="ab"/>
        <w:numPr>
          <w:numId w:val="11"/>
        </w:numPr>
      </w:pPr>
      <w:r>
        <w:t>34:22 公募RACE板块估值分化与修复机会分析</w:t>
      </w:r>
    </w:p>
    <w:p>
      <w:r>
        <w:rPr>
          <w:rFonts w:ascii="等线(中文正文)" w:hAnsi="等线(中文正文)" w:cs="等线(中文正文)" w:eastAsia="等线(中文正文)"/>
          <w:b w:val="false"/>
          <w:i w:val="false"/>
          <w:sz w:val="20"/>
        </w:rPr>
        <w:t>讨论了公募RACE板块内不同细分品类的估值分化现状，指出仓储物流和产业园估值分位数极低，具备高修复弹性，建议重点关注。同时，公路市政与生态环保估值偏低，但修复节奏可能较温和。保租房、消费、能源等品类估值处于中高位置，新基建和水利估值则位于中枢，后续走势或跟随大盘。基于长期入市预期，建议优先布局仓储和产业园，同时关注高速公路和市场环保等稳健品种。</w:t>
      </w:r>
    </w:p>
    <w:p>
      <w:r>
        <w:rPr>
          <w:rFonts w:ascii="等线(中文正文)" w:hAnsi="等线(中文正文)" w:cs="等线(中文正文)" w:eastAsia="等线(中文正文)"/>
          <w:b w:val="false"/>
          <w:i w:val="false"/>
          <w:sz w:val="20"/>
        </w:rPr>
        <w:t/>
      </w:r>
    </w:p>
    <w:p>
      <w:pPr>
        <w:pStyle w:val="a7"/>
      </w:pPr>
      <w:r>
        <w:t>发言总结</w:t>
      </w:r>
    </w:p>
    <w:p>
      <w:pPr>
        <w:pStyle w:val="ab"/>
        <w:numPr>
          <w:numId w:val="12"/>
        </w:numPr>
      </w:pPr>
      <w:r>
        <w:t>发言人1</w:t>
      </w:r>
    </w:p>
    <w:p>
      <w:r>
        <w:rPr>
          <w:rFonts w:ascii="等线(中文正文)" w:hAnsi="等线(中文正文)" w:cs="等线(中文正文)" w:eastAsia="等线(中文正文)"/>
          <w:b w:val="false"/>
          <w:i w:val="false"/>
          <w:sz w:val="20"/>
        </w:rPr>
        <w:t>他对美国劳动市场和金融市场进行了深入分析，指出虽然非农数据影响市场波动，但AI增长和杠杆过度使用也是关键因素。劳动市场恢复迹象不明显，通胀和低劳动参与率限制短期内美联储降息可能性。他强调供给侧紧缩和低劳动参与率是核心问题，AI对就业影响尚不显著。在经济周期、通胀预期和美联储政策方面，他认为市场对加息预期可能过度定价，但AI领域未来或有新动力。
在国内市场，他关注A股走势，指出正常分化加速，交易拥挤度高，短期内科技主线存在资金分歧和指数波动。他建议关注高景气和超跌板块，强调外部风险、中东局势和行业景气预期的重要性。政策层面，他聚焦人工智能和基础设施建设，建议采取均衡布局策略。此外，他还深入分析了商业不动产市场供给冲击，指出估值修复和政策利好是主要驱动，建议关注仓储物流和产业园等板块。</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问：上周五公布的美国劳动数据对市场产生了怎样的影响？劳动市场的实际表现是否如非农数据所示那么乐观？</w:t>
      </w:r>
    </w:p>
    <w:p>
      <w:r>
        <w:rPr>
          <w:rFonts w:ascii="等线(中文正文)" w:hAnsi="等线(中文正文)" w:cs="等线(中文正文)" w:eastAsia="等线(中文正文)"/>
          <w:b w:val="false"/>
          <w:i w:val="false"/>
          <w:sz w:val="20"/>
        </w:rPr>
        <w:t>发言人1 答：上周五美国劳动数据公布后，全球市场出现较大震荡，但非农数据并不是市场震荡的主要原因。之前AI的持续上涨和过度上杠杆才是导致市场脆弱的关键因素，非农数据只是提供了市场下跌的一个诱因。并非如此，劳动市场整体状况并不像非农数据表现得那么好。居民总劳动人口增速在下行，就业人数虽有新增，但拿到薪酬的人数减少，且他们的工资收入并未明显增长，考虑到通胀上行，实际收入偏弱。</w:t>
      </w:r>
    </w:p>
    <w:p>
      <w:r>
        <w:rPr>
          <w:rFonts w:ascii="等线(中文正文)" w:hAnsi="等线(中文正文)" w:cs="等线(中文正文)" w:eastAsia="等线(中文正文)"/>
          <w:b w:val="false"/>
          <w:i w:val="false"/>
          <w:sz w:val="20"/>
        </w:rPr>
        <w:t/>
      </w:r>
    </w:p>
    <w:p>
      <w:pPr>
        <w:pStyle w:val="ab"/>
      </w:pPr>
      <w:r>
        <w:t>发言人1 问：对于五月份非农数据的看法是什么？</w:t>
      </w:r>
    </w:p>
    <w:p>
      <w:r>
        <w:rPr>
          <w:rFonts w:ascii="等线(中文正文)" w:hAnsi="等线(中文正文)" w:cs="等线(中文正文)" w:eastAsia="等线(中文正文)"/>
          <w:b w:val="false"/>
          <w:i w:val="false"/>
          <w:sz w:val="20"/>
        </w:rPr>
        <w:t>发言人1 答：五月份非农数据偏强，自三月份以来其移动均值已超过2016至2019年的均值。不过，需要注意的是，非农数据存在上半年强于下半年的特点，因此目前尚无法确定下半年劳动市场的强度会维持在当前水平。</w:t>
      </w:r>
    </w:p>
    <w:p>
      <w:r>
        <w:rPr>
          <w:rFonts w:ascii="等线(中文正文)" w:hAnsi="等线(中文正文)" w:cs="等线(中文正文)" w:eastAsia="等线(中文正文)"/>
          <w:b w:val="false"/>
          <w:i w:val="false"/>
          <w:sz w:val="20"/>
        </w:rPr>
        <w:t/>
      </w:r>
    </w:p>
    <w:p>
      <w:pPr>
        <w:pStyle w:val="ab"/>
      </w:pPr>
      <w:r>
        <w:t>发言人1 问：您如何看待当前美国劳动市场的整体状况？</w:t>
      </w:r>
    </w:p>
    <w:p>
      <w:r>
        <w:rPr>
          <w:rFonts w:ascii="等线(中文正文)" w:hAnsi="等线(中文正文)" w:cs="等线(中文正文)" w:eastAsia="等线(中文正文)"/>
          <w:b w:val="false"/>
          <w:i w:val="false"/>
          <w:sz w:val="20"/>
        </w:rPr>
        <w:t>发言人1 答：我们认为劳动市场目前给出的信号较为模糊，并未看到持续恢复的迹象。从整体上讲，劳动市场对通胀的压力有限，短期内也缺乏因劳动市场走弱而降息的理由。综合来看，即使非农数据表现相对强劲，美联储今年也无需降息，但如果经济顺利，年内可能会有一次左右的降息。</w:t>
      </w:r>
    </w:p>
    <w:p>
      <w:r>
        <w:rPr>
          <w:rFonts w:ascii="等线(中文正文)" w:hAnsi="等线(中文正文)" w:cs="等线(中文正文)" w:eastAsia="等线(中文正文)"/>
          <w:b w:val="false"/>
          <w:i w:val="false"/>
          <w:sz w:val="20"/>
        </w:rPr>
        <w:t/>
      </w:r>
    </w:p>
    <w:p>
      <w:pPr>
        <w:pStyle w:val="ab"/>
      </w:pPr>
      <w:r>
        <w:t>发言人1 问：劳动市场供给侧的情况如何？</w:t>
      </w:r>
    </w:p>
    <w:p>
      <w:r>
        <w:rPr>
          <w:rFonts w:ascii="等线(中文正文)" w:hAnsi="等线(中文正文)" w:cs="等线(中文正文)" w:eastAsia="等线(中文正文)"/>
          <w:b w:val="false"/>
          <w:i w:val="false"/>
          <w:sz w:val="20"/>
        </w:rPr>
        <w:t>发言人1 答：劳动市场供给侧持续偏紧，特朗普政府限制非法移民入境有效减少了新移民对失业率上行的风险。然而，这也带来了负面影响，比如低劳动参与率，整体就业人数增长缓慢。</w:t>
      </w:r>
    </w:p>
    <w:p>
      <w:r>
        <w:rPr>
          <w:rFonts w:ascii="等线(中文正文)" w:hAnsi="等线(中文正文)" w:cs="等线(中文正文)" w:eastAsia="等线(中文正文)"/>
          <w:b w:val="false"/>
          <w:i w:val="false"/>
          <w:sz w:val="20"/>
        </w:rPr>
        <w:t/>
      </w:r>
    </w:p>
    <w:p>
      <w:pPr>
        <w:pStyle w:val="ab"/>
      </w:pPr>
      <w:r>
        <w:t>发言人1 问：需求侧的情况怎样？</w:t>
      </w:r>
    </w:p>
    <w:p>
      <w:r>
        <w:rPr>
          <w:rFonts w:ascii="等线(中文正文)" w:hAnsi="等线(中文正文)" w:cs="等线(中文正文)" w:eastAsia="等线(中文正文)"/>
          <w:b w:val="false"/>
          <w:i w:val="false"/>
          <w:sz w:val="20"/>
        </w:rPr>
        <w:t>发言人1 答：需求侧受到偏高的通胀、收入不足以及经济分化等问题的影响，导致美国周期性部门表现不佳，包括消费、制造业、地产建筑等行业均呈现疲软态势，这不仅使得薪资增速下行，还反映在职位空缺数和其他招聘指标上，显示出劳动市场处于净平衡状态，供给端的问题持续存在且有助于维持失业率低位。</w:t>
      </w:r>
    </w:p>
    <w:p>
      <w:r>
        <w:rPr>
          <w:rFonts w:ascii="等线(中文正文)" w:hAnsi="等线(中文正文)" w:cs="等线(中文正文)" w:eastAsia="等线(中文正文)"/>
          <w:b w:val="false"/>
          <w:i w:val="false"/>
          <w:sz w:val="20"/>
        </w:rPr>
        <w:t/>
      </w:r>
    </w:p>
    <w:p>
      <w:pPr>
        <w:pStyle w:val="ab"/>
      </w:pPr>
      <w:r>
        <w:t>发言人1 问：AI对劳动市场的影响是否明显？</w:t>
      </w:r>
    </w:p>
    <w:p>
      <w:r>
        <w:rPr>
          <w:rFonts w:ascii="等线(中文正文)" w:hAnsi="等线(中文正文)" w:cs="等线(中文正文)" w:eastAsia="等线(中文正文)"/>
          <w:b w:val="false"/>
          <w:i w:val="false"/>
          <w:sz w:val="20"/>
        </w:rPr>
        <w:t>发言人1 答：目前AI在劳动市场中的影响并不显著。尽管软件开发等行业招聘指数未受AI整体不良影响，但整体来看，AI并未明显导致就业减少或新一轮就业上升，它更多是一个偏长期的慢变量。</w:t>
      </w:r>
    </w:p>
    <w:p>
      <w:r>
        <w:rPr>
          <w:rFonts w:ascii="等线(中文正文)" w:hAnsi="等线(中文正文)" w:cs="等线(中文正文)" w:eastAsia="等线(中文正文)"/>
          <w:b w:val="false"/>
          <w:i w:val="false"/>
          <w:sz w:val="20"/>
        </w:rPr>
        <w:t/>
      </w:r>
    </w:p>
    <w:p>
      <w:pPr>
        <w:pStyle w:val="ab"/>
      </w:pPr>
      <w:r>
        <w:t>发言人1 问：就业构成方面的增长主要集中在哪些领域？</w:t>
      </w:r>
    </w:p>
    <w:p>
      <w:r>
        <w:rPr>
          <w:rFonts w:ascii="等线(中文正文)" w:hAnsi="等线(中文正文)" w:cs="等线(中文正文)" w:eastAsia="等线(中文正文)"/>
          <w:b w:val="false"/>
          <w:i w:val="false"/>
          <w:sz w:val="20"/>
        </w:rPr>
        <w:t>发言人1 答：增长最多的三个领域是教育和保健服务（医疗相关，较为稳定）、休闲和酒店业（受益于临时就业增加），以及地方政府就业。政府就业的波动较大，去年同期曾出现单月激增的情况，但后续很快恢复常态，因此五月份非农就业的实际增长可能不如表面数据那么强劲。</w:t>
      </w:r>
    </w:p>
    <w:p>
      <w:r>
        <w:rPr>
          <w:rFonts w:ascii="等线(中文正文)" w:hAnsi="等线(中文正文)" w:cs="等线(中文正文)" w:eastAsia="等线(中文正文)"/>
          <w:b w:val="false"/>
          <w:i w:val="false"/>
          <w:sz w:val="20"/>
        </w:rPr>
        <w:t/>
      </w:r>
    </w:p>
    <w:p>
      <w:pPr>
        <w:pStyle w:val="ab"/>
      </w:pPr>
      <w:r>
        <w:t>发言人1 问：劳动市场数据中非农就业与家庭就业有何矛盾之处？劳动市场整体表现如何，以及与高频数据有何不匹配的地方？</w:t>
      </w:r>
    </w:p>
    <w:p>
      <w:r>
        <w:rPr>
          <w:rFonts w:ascii="等线(中文正文)" w:hAnsi="等线(中文正文)" w:cs="等线(中文正文)" w:eastAsia="等线(中文正文)"/>
          <w:b w:val="false"/>
          <w:i w:val="false"/>
          <w:sz w:val="20"/>
        </w:rPr>
        <w:t>发言人1 答：非农就业数据在走高，但家庭中的全职就业却持续走低，两者存在明显偏差。上一次出现类似情况时，非农就业后续也进行了调整。非农就业中兼职人员多份岗位被重复统计为多份新增就业，可能与上个月兼职就业的异常增长有关。近期小企业招聘意愿指数表现不佳，非农就业增速放缓，而CPI预计在3.4%，实际薪资呈现零值到负值状态，对消费和服务通胀不利。同时，劳动年龄人口数量减少，劳动参与率偏低，尤其是年轻人就业困难，导致可支配收入增速放缓。</w:t>
      </w:r>
    </w:p>
    <w:p>
      <w:r>
        <w:rPr>
          <w:rFonts w:ascii="等线(中文正文)" w:hAnsi="等线(中文正文)" w:cs="等线(中文正文)" w:eastAsia="等线(中文正文)"/>
          <w:b w:val="false"/>
          <w:i w:val="false"/>
          <w:sz w:val="20"/>
        </w:rPr>
        <w:t/>
      </w:r>
    </w:p>
    <w:p>
      <w:pPr>
        <w:pStyle w:val="ab"/>
      </w:pPr>
      <w:r>
        <w:t>发言人1 问：是否存在特定事件导致兼职就业增加？</w:t>
      </w:r>
    </w:p>
    <w:p>
      <w:r>
        <w:rPr>
          <w:rFonts w:ascii="等线(中文正文)" w:hAnsi="等线(中文正文)" w:cs="等线(中文正文)" w:eastAsia="等线(中文正文)"/>
          <w:b w:val="false"/>
          <w:i w:val="false"/>
          <w:sz w:val="20"/>
        </w:rPr>
        <w:t>发言人1 答：是的，世界杯等大型活动期间，当月兼职就业通常会增加，这会导致费用单月表现较强。例如24年Terry Swift演唱会时，临时服务岗位如酒店餐饮业的大量需求，容易造成兼职就业重复统计，从而使得就业数据显得比实际更强。</w:t>
      </w:r>
    </w:p>
    <w:p>
      <w:r>
        <w:rPr>
          <w:rFonts w:ascii="等线(中文正文)" w:hAnsi="等线(中文正文)" w:cs="等线(中文正文)" w:eastAsia="等线(中文正文)"/>
          <w:b w:val="false"/>
          <w:i w:val="false"/>
          <w:sz w:val="20"/>
        </w:rPr>
        <w:t/>
      </w:r>
    </w:p>
    <w:p>
      <w:pPr>
        <w:pStyle w:val="ab"/>
      </w:pPr>
      <w:r>
        <w:t>发言人1 问：劳动市场状况对美联储加息决策的影响是什么？</w:t>
      </w:r>
    </w:p>
    <w:p>
      <w:r>
        <w:rPr>
          <w:rFonts w:ascii="等线(中文正文)" w:hAnsi="等线(中文正文)" w:cs="等线(中文正文)" w:eastAsia="等线(中文正文)"/>
          <w:b w:val="false"/>
          <w:i w:val="false"/>
          <w:sz w:val="20"/>
        </w:rPr>
        <w:t>发言人1 答：劳动市场的表现并不支持美联储必须加息的必要性。一方面，劳动市场数据内部存在矛盾；另一方面，从通胀角度看，偏低的薪资和可支配收入表明美国进一步通胀压力较小。结合美国经济周期现状，AI拉动效果有限，投资项目的就业创造作用不明显，且生产率提升已到达瓶颈状态，消费下滑，地产和建筑保持负增长。因此，美联储应谨慎对待当前的通胀上升，避免因短期通胀上升而加息，若明年油价下降导致通胀快速回落时，可能会陷入降息困境。</w:t>
      </w:r>
    </w:p>
    <w:p>
      <w:r>
        <w:rPr>
          <w:rFonts w:ascii="等线(中文正文)" w:hAnsi="等线(中文正文)" w:cs="等线(中文正文)" w:eastAsia="等线(中文正文)"/>
          <w:b w:val="false"/>
          <w:i w:val="false"/>
          <w:sz w:val="20"/>
        </w:rPr>
        <w:t/>
      </w:r>
    </w:p>
    <w:p>
      <w:pPr>
        <w:pStyle w:val="ab"/>
      </w:pPr>
      <w:r>
        <w:t>发言人1 问：在美联储加息问题上，您认为短期和全年情况如何？</w:t>
      </w:r>
    </w:p>
    <w:p>
      <w:r>
        <w:rPr>
          <w:rFonts w:ascii="等线(中文正文)" w:hAnsi="等线(中文正文)" w:cs="等线(中文正文)" w:eastAsia="等线(中文正文)"/>
          <w:b w:val="false"/>
          <w:i w:val="false"/>
          <w:sz w:val="20"/>
        </w:rPr>
        <w:t>发言人1 答：短期来看，美联储较好的策略是按兵不动，市场确实将加息作为主线交易，但全年角度分析，加息风险存在过度定价的现象。尽管短期由于CPI等滞后数据公布，市场反应激烈，美联储目前处于数据依赖状态，未明确行动。我们认为，短期市场面临回调风险，而流动性预期恢复需要等待一段时间。</w:t>
      </w:r>
    </w:p>
    <w:p>
      <w:r>
        <w:rPr>
          <w:rFonts w:ascii="等线(中文正文)" w:hAnsi="等线(中文正文)" w:cs="等线(中文正文)" w:eastAsia="等线(中文正文)"/>
          <w:b w:val="false"/>
          <w:i w:val="false"/>
          <w:sz w:val="20"/>
        </w:rPr>
        <w:t/>
      </w:r>
    </w:p>
    <w:p>
      <w:pPr>
        <w:pStyle w:val="ab"/>
      </w:pPr>
      <w:r>
        <w:t>发言人1 问：对于国内A股市场，近期走势和展望如何？目前市场主要关注的三个方面是什么？</w:t>
      </w:r>
    </w:p>
    <w:p>
      <w:r>
        <w:rPr>
          <w:rFonts w:ascii="等线(中文正文)" w:hAnsi="等线(中文正文)" w:cs="等线(中文正文)" w:eastAsia="等线(中文正文)"/>
          <w:b w:val="false"/>
          <w:i w:val="false"/>
          <w:sz w:val="20"/>
        </w:rPr>
        <w:t>发言人1 答：近期A股市场在多个事件催化下呈现出正常分化加速特征，整体交易拥挤度仍较高。科技主线虽未结束，但短期资金分歧加大，指数波动可能增加。当前市场进入震荡整固和内部分化阶段，建议重点关注高景气和近期超跌板块。首先，从外部风险角度看，美国非农就业数据大超预期导致年内加息预期升温，这已完全被市场定价。利率互换市场显示年内加息概率极高，海外流动性边际变化对市场构成阶段性扰动。其次，中东局势尤其是美伊冲突的变化也十分关键，尽管双方谈判持续，但军事对峙未缓和，需关注其对全球原油和大宗商品定价环境的影响。最后，回归行业景气预期，当前市场轮动中，需要关注AI产业趋势及业绩兑现情况，以及政策导向对资金配置逻辑的影响。</w:t>
      </w:r>
    </w:p>
    <w:p>
      <w:r>
        <w:rPr>
          <w:rFonts w:ascii="等线(中文正文)" w:hAnsi="等线(中文正文)" w:cs="等线(中文正文)" w:eastAsia="等线(中文正文)"/>
          <w:b w:val="false"/>
          <w:i w:val="false"/>
          <w:sz w:val="20"/>
        </w:rPr>
        <w:t/>
      </w:r>
    </w:p>
    <w:p>
      <w:pPr>
        <w:pStyle w:val="ab"/>
      </w:pPr>
      <w:r>
        <w:t>发言人1 问：如何看待当前市场的波动和行业轮动？</w:t>
      </w:r>
    </w:p>
    <w:p>
      <w:r>
        <w:rPr>
          <w:rFonts w:ascii="等线(中文正文)" w:hAnsi="等线(中文正文)" w:cs="等线(中文正文)" w:eastAsia="等线(中文正文)"/>
          <w:b w:val="false"/>
          <w:i w:val="false"/>
          <w:sz w:val="20"/>
        </w:rPr>
        <w:t>发言人1 答：当前市场行情高低切换及板块轮动特征明显，主要是由业绩指引不及预期、美联储加息预期升温等因素引发的估值修正。不过，AI产业趋势并未逆转，科技巨头仍在持续加码相关建设，后续应关注产业景气度、盈利增长持续性和业绩兑现情况。同时，国内政策方面，尽管六月份处于政策会议空窗期，但监管导向在净化市场生态，后续资金配置有望更多地向政策扶持和优质企业倾斜。从中央政治局会议指示来看，后续政策将更倾向于精准滴灌，其中涉及的重点板块也是追踪方向。</w:t>
      </w:r>
    </w:p>
    <w:p>
      <w:r>
        <w:rPr>
          <w:rFonts w:ascii="等线(中文正文)" w:hAnsi="等线(中文正文)" w:cs="等线(中文正文)" w:eastAsia="等线(中文正文)"/>
          <w:b w:val="false"/>
          <w:i w:val="false"/>
          <w:sz w:val="20"/>
        </w:rPr>
        <w:t/>
      </w:r>
    </w:p>
    <w:p>
      <w:pPr>
        <w:pStyle w:val="ab"/>
      </w:pPr>
      <w:r>
        <w:t>发言人1 问：在当前市场环境下，政策主线和投资方向有哪些重点内容？</w:t>
      </w:r>
    </w:p>
    <w:p>
      <w:r>
        <w:rPr>
          <w:rFonts w:ascii="等线(中文正文)" w:hAnsi="等线(中文正文)" w:cs="等线(中文正文)" w:eastAsia="等线(中文正文)"/>
          <w:b w:val="false"/>
          <w:i w:val="false"/>
          <w:sz w:val="20"/>
        </w:rPr>
        <w:t>发言人1 答：当前政策主线强调全面实施人工智能加行动，并且提到了对路网建设的持续性关注。从政策验证及宏观追踪的角度看，能源安全和民生领域的相关政策也是后续可以关注的方向。在市场整体震荡轮动、内部化的阶段，建议采取科技轮动与防御配置均衡布局的策略。</w:t>
      </w:r>
    </w:p>
    <w:p>
      <w:r>
        <w:rPr>
          <w:rFonts w:ascii="等线(中文正文)" w:hAnsi="等线(中文正文)" w:cs="等线(中文正文)" w:eastAsia="等线(中文正文)"/>
          <w:b w:val="false"/>
          <w:i w:val="false"/>
          <w:sz w:val="20"/>
        </w:rPr>
        <w:t/>
      </w:r>
    </w:p>
    <w:p>
      <w:pPr>
        <w:pStyle w:val="ab"/>
      </w:pPr>
      <w:r>
        <w:t>发言人1 问：对于科技方向的投资有何建议？在中短期如何配置防御性底仓？</w:t>
      </w:r>
    </w:p>
    <w:p>
      <w:r>
        <w:rPr>
          <w:rFonts w:ascii="等线(中文正文)" w:hAnsi="等线(中文正文)" w:cs="等线(中文正文)" w:eastAsia="等线(中文正文)"/>
          <w:b w:val="false"/>
          <w:i w:val="false"/>
          <w:sz w:val="20"/>
        </w:rPr>
        <w:t>发言人1 答：从科技景气和产业趋势来看，中期方向不改，但在交易集中度较高且部分热点出现高位分化的背景下，应关注内部轮动特征，如半导体、通信设备、天算力存储、人形机器人等方向可进一步追踪。建议阶段性重视防御性底仓配置价值，特别是煤炭、煤化工、金融板块（银行、公用事业）以及新能源等行业。</w:t>
      </w:r>
    </w:p>
    <w:p>
      <w:r>
        <w:rPr>
          <w:rFonts w:ascii="等线(中文正文)" w:hAnsi="等线(中文正文)" w:cs="等线(中文正文)" w:eastAsia="等线(中文正文)"/>
          <w:b w:val="false"/>
          <w:i w:val="false"/>
          <w:sz w:val="20"/>
        </w:rPr>
        <w:t/>
      </w:r>
    </w:p>
    <w:p>
      <w:pPr>
        <w:pStyle w:val="ab"/>
      </w:pPr>
      <w:r>
        <w:t>发言人1 问：业绩修复逻辑方面有哪些值得关注的板块？</w:t>
      </w:r>
    </w:p>
    <w:p>
      <w:r>
        <w:rPr>
          <w:rFonts w:ascii="等线(中文正文)" w:hAnsi="等线(中文正文)" w:cs="等线(中文正文)" w:eastAsia="等线(中文正文)"/>
          <w:b w:val="false"/>
          <w:i w:val="false"/>
          <w:sz w:val="20"/>
        </w:rPr>
        <w:t>发言人1 答：可以重点关注受益于产品涨价和业绩修复逻辑的方向，如基础化工、石油石化、有色金属。此外，在加息预期升温影响下，贵金属板块有所承压，可挖掘其中的细分方向，以及建材、钢铁等板块的业绩修复逻辑。</w:t>
      </w:r>
    </w:p>
    <w:p>
      <w:r>
        <w:rPr>
          <w:rFonts w:ascii="等线(中文正文)" w:hAnsi="等线(中文正文)" w:cs="等线(中文正文)" w:eastAsia="等线(中文正文)"/>
          <w:b w:val="false"/>
          <w:i w:val="false"/>
          <w:sz w:val="20"/>
        </w:rPr>
        <w:t/>
      </w:r>
    </w:p>
    <w:p>
      <w:pPr>
        <w:pStyle w:val="ab"/>
      </w:pPr>
      <w:r>
        <w:t>发言人1 问：针对当前市场情况，投资策略应该如何调整？近期公募二级市场的走势及驱动因素是什么？</w:t>
      </w:r>
    </w:p>
    <w:p>
      <w:r>
        <w:rPr>
          <w:rFonts w:ascii="等线(中文正文)" w:hAnsi="等线(中文正文)" w:cs="等线(中文正文)" w:eastAsia="等线(中文正文)"/>
          <w:b w:val="false"/>
          <w:i w:val="false"/>
          <w:sz w:val="20"/>
        </w:rPr>
        <w:t>发言人1 答：鉴于景气度集中与市场交易集中度较高的现状，推荐采取科技轮动与防御配置均衡布局的策略。近一个月公募二级市场经历了剧烈波动，核心驱动来自供给预期变化、供给冲击利空落地以及政策博弈。行情表现为典型的V型阶段性走势，其中以商业不动产新品类带来的供给冲击为主线。</w:t>
      </w:r>
    </w:p>
    <w:p>
      <w:r>
        <w:rPr>
          <w:rFonts w:ascii="等线(中文正文)" w:hAnsi="等线(中文正文)" w:cs="等线(中文正文)" w:eastAsia="等线(中文正文)"/>
          <w:b w:val="false"/>
          <w:i w:val="false"/>
          <w:sz w:val="20"/>
        </w:rPr>
        <w:t/>
      </w:r>
    </w:p>
    <w:p>
      <w:pPr>
        <w:pStyle w:val="ab"/>
      </w:pPr>
      <w:r>
        <w:t>发言人1 问：商业不动产REITs对公募市场的影响如何？</w:t>
      </w:r>
    </w:p>
    <w:p>
      <w:r>
        <w:rPr>
          <w:rFonts w:ascii="等线(中文正文)" w:hAnsi="等线(中文正文)" w:cs="等线(中文正文)" w:eastAsia="等线(中文正文)"/>
          <w:b w:val="false"/>
          <w:i w:val="false"/>
          <w:sz w:val="20"/>
        </w:rPr>
        <w:t>发言人1 答：四支商业不动产REITs的发行导致指数震荡下行，随后在募资规模消化及利空落地后出现估值修复行情。供给冲击使得资金从一级市场转移到二级市场，加剧了二级市场的资金流出压力。</w:t>
      </w:r>
    </w:p>
    <w:p>
      <w:r>
        <w:rPr>
          <w:rFonts w:ascii="等线(中文正文)" w:hAnsi="等线(中文正文)" w:cs="等线(中文正文)" w:eastAsia="等线(中文正文)"/>
          <w:b w:val="false"/>
          <w:i w:val="false"/>
          <w:sz w:val="20"/>
        </w:rPr>
        <w:t/>
      </w:r>
    </w:p>
    <w:p>
      <w:pPr>
        <w:pStyle w:val="ab"/>
      </w:pPr>
      <w:r>
        <w:t>发言人1 问：险资在当前市场中缺席的主要原因是什么？</w:t>
      </w:r>
    </w:p>
    <w:p>
      <w:r>
        <w:rPr>
          <w:rFonts w:ascii="等线(中文正文)" w:hAnsi="等线(中文正文)" w:cs="等线(中文正文)" w:eastAsia="等线(中文正文)"/>
          <w:b w:val="false"/>
          <w:i w:val="false"/>
          <w:sz w:val="20"/>
        </w:rPr>
        <w:t>发言人1 答：险资缺席主要是因为监管配套细则还未正式落地，缺乏明确指导来推动险资进入新的投资品类。同时，其他活跃的二级市场配置盘和交易盘填补了险资退出后留下的缺口，给存量市场带来了阶段性抛压，并且当前存量市场规模约为2100亿左右，新产品的增量供给相当于增加了10%。</w:t>
      </w:r>
    </w:p>
    <w:p>
      <w:r>
        <w:rPr>
          <w:rFonts w:ascii="等线(中文正文)" w:hAnsi="等线(中文正文)" w:cs="等线(中文正文)" w:eastAsia="等线(中文正文)"/>
          <w:b w:val="false"/>
          <w:i w:val="false"/>
          <w:sz w:val="20"/>
        </w:rPr>
        <w:t/>
      </w:r>
    </w:p>
    <w:p>
      <w:pPr>
        <w:pStyle w:val="ab"/>
      </w:pPr>
      <w:r>
        <w:t>发言人1 问：商业不动产REITs后续扩容会对市场造成何种影响？如何改变目前REITs市场面临供给冲击的状况？</w:t>
      </w:r>
    </w:p>
    <w:p>
      <w:r>
        <w:rPr>
          <w:rFonts w:ascii="等线(中文正文)" w:hAnsi="等线(中文正文)" w:cs="等线(中文正文)" w:eastAsia="等线(中文正文)"/>
          <w:b w:val="false"/>
          <w:i w:val="false"/>
          <w:sz w:val="20"/>
        </w:rPr>
        <w:t>发言人1 答：目前市场上已有20支商业不动产REITs即将发行，预计总规模将突破千亿元，远超二级市场的现有规模，将带来较大的供给压力。尽管大部分项目仍处于前期筹备阶段，但按照当前节奏推算，年内仍将是新品类集中发行周期，这将进一步放大二级市场的避险情绪。要从根本上改变供给冲击逻辑，需要监管层面出台相应货币政策和配套支持措施。短期来看，近期已上市和即将上市的产品已充分消化了供给利空压力，重点应关注7月份前后长线增量资金入市以及相关配套政策落地情况。</w:t>
      </w:r>
    </w:p>
    <w:p>
      <w:r>
        <w:rPr>
          <w:rFonts w:ascii="等线(中文正文)" w:hAnsi="等线(中文正文)" w:cs="等线(中文正文)" w:eastAsia="等线(中文正文)"/>
          <w:b w:val="false"/>
          <w:i w:val="false"/>
          <w:sz w:val="20"/>
        </w:rPr>
        <w:t/>
      </w:r>
    </w:p>
    <w:p>
      <w:pPr>
        <w:pStyle w:val="ab"/>
      </w:pPr>
      <w:r>
        <w:t>发言人1 问：当前REITs板块内部有哪些结构性特征及投资机会？</w:t>
      </w:r>
    </w:p>
    <w:p>
      <w:r>
        <w:rPr>
          <w:rFonts w:ascii="等线(中文正文)" w:hAnsi="等线(中文正文)" w:cs="等线(中文正文)" w:eastAsia="等线(中文正文)"/>
          <w:b w:val="false"/>
          <w:i w:val="false"/>
          <w:sz w:val="20"/>
        </w:rPr>
        <w:t>发言人1 答：目前公募REITs板块内部出现明显估值分化，仓储物流、产业园等板块估值分位数较低，具备较高的估值修复弹性，是重点关注的方向。此外，公路市政、生态环保等细分领域估值也处于偏低水平，具有一定的修复潜力。而对于保租房、消费、能源等板块，虽近一年估值分位数偏低，但长期来看估值位置相对较高，修复节奏可能偏温和。新基建和水利板块估值中枢，行情走势可能跟随大盘平缓修复。</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2026-06-08T13:56:09Z</dcterms:created>
  <dc:creator>Apache POI</dc:creator>
</cp:coreProperties>
</file>