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开源证券策略 - AI硬件利益格局调整，孕育科技内部切换机会 260607_导读</w:t>
      </w:r>
    </w:p>
    <w:p>
      <w:pPr>
        <w:pStyle w:val="a0"/>
        <w:jc w:val="center"/>
      </w:pPr>
      <w:r>
        <w:t>2026年06月07日 22:53</w:t>
      </w:r>
    </w:p>
    <w:p>
      <w:pPr>
        <w:pStyle w:val="a7"/>
      </w:pPr>
      <w:r>
        <w:t>关键词</w:t>
      </w:r>
    </w:p>
    <w:p>
      <w:r>
        <w:rPr>
          <w:rFonts w:ascii="等线(中文正文)" w:hAnsi="等线(中文正文)" w:cs="等线(中文正文)" w:eastAsia="等线(中文正文)"/>
          <w:b w:val="false"/>
          <w:i w:val="false"/>
          <w:sz w:val="20"/>
        </w:rPr>
        <w:t xml:space="preserve">AI硬件 科技成长 利益格局调整 存储 内存配比 算力需求 产业景气 盈利支撑 流动性 风险偏好 二次点火资产 国产算力 订单斜率 交易拥挤 微观结构 牛市 系统性风险 国产替代 电力设备 能源金属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主持人首先对所有参会者表示感谢，强调会议即将开始，请大家保持在线。讨论重点集中在科技行业，尤其是AI硬件领域内利益格局的变化，以及对未来科技投资方向的分析。尽管市场经历调整，但AI主线与科技成长表现依然强劲，特别强调了国产算力、AI电力资本开支链、应用入口资产，以及周期和消费领域中的机遇。会议还指出，风险偏好已从过热状态回归至均衡，微观交易结构偏热需时间消化。最后，主持人再次感谢投资者的参与，并宣布会议结束。此次会议深入探讨了科技行业的最新动态和投资前景，为参与者提供了有价值的洞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会议即将开始的欢迎与通知</w:t>
      </w:r>
    </w:p>
    <w:p>
      <w:r>
        <w:rPr>
          <w:rFonts w:ascii="等线(中文正文)" w:hAnsi="等线(中文正文)" w:cs="等线(中文正文)" w:eastAsia="等线(中文正文)"/>
          <w:b w:val="false"/>
          <w:i w:val="false"/>
          <w:sz w:val="20"/>
        </w:rPr>
        <w:t>对话内容为重复的会议欢迎词，强调感谢与会者参与，并多次提醒大家保持在线等待会议开始。</w:t>
      </w:r>
    </w:p>
    <w:p>
      <w:r>
        <w:rPr>
          <w:rFonts w:ascii="等线(中文正文)" w:hAnsi="等线(中文正文)" w:cs="等线(中文正文)" w:eastAsia="等线(中文正文)"/>
          <w:b w:val="false"/>
          <w:i w:val="false"/>
          <w:sz w:val="20"/>
        </w:rPr>
        <w:t/>
      </w:r>
    </w:p>
    <w:p>
      <w:pPr>
        <w:pStyle w:val="ab"/>
        <w:numPr>
          <w:numId w:val="2"/>
        </w:numPr>
      </w:pPr>
      <w:r>
        <w:t>19:31 AI硬件格局调整与科技内部切换机会</w:t>
      </w:r>
    </w:p>
    <w:p>
      <w:r>
        <w:rPr>
          <w:rFonts w:ascii="等线(中文正文)" w:hAnsi="等线(中文正文)" w:cs="等线(中文正文)" w:eastAsia="等线(中文正文)"/>
          <w:b w:val="false"/>
          <w:i w:val="false"/>
          <w:sz w:val="20"/>
        </w:rPr>
        <w:t>会议讨论了AI硬件产业链内部利益格局调整带来的结构性机会，指出非农数据影响短期，AI主线未结束，科技成长仍是主线，市场调整为再定价，而非科技退潮或牛市终点。</w:t>
      </w:r>
    </w:p>
    <w:p>
      <w:r>
        <w:rPr>
          <w:rFonts w:ascii="等线(中文正文)" w:hAnsi="等线(中文正文)" w:cs="等线(中文正文)" w:eastAsia="等线(中文正文)"/>
          <w:b w:val="false"/>
          <w:i w:val="false"/>
          <w:sz w:val="20"/>
        </w:rPr>
        <w:t/>
      </w:r>
    </w:p>
    <w:p>
      <w:pPr>
        <w:pStyle w:val="ab"/>
        <w:numPr>
          <w:numId w:val="3"/>
        </w:numPr>
      </w:pPr>
      <w:r>
        <w:t>23:03 AI产业链利益重分配与市场交易结构消化</w:t>
      </w:r>
    </w:p>
    <w:p>
      <w:r>
        <w:rPr>
          <w:rFonts w:ascii="等线(中文正文)" w:hAnsi="等线(中文正文)" w:cs="等线(中文正文)" w:eastAsia="等线(中文正文)"/>
          <w:b w:val="false"/>
          <w:i w:val="false"/>
          <w:sz w:val="20"/>
        </w:rPr>
        <w:t>对话讨论了AI硬件领域内存配比调整引发的产业链内部利益重分配问题，以及市场交易结构过度拥挤需要消化的现象。指出AI算力需求强劲，产业链调整并非需求下降，而是内部利益重新分配。市场短期调整由资金过度集中引起，但不构成系统性风险，长期趋势未变。强调当前市场消化拥挤度后，仍将回归产业景气主线。</w:t>
      </w:r>
    </w:p>
    <w:p>
      <w:r>
        <w:rPr>
          <w:rFonts w:ascii="等线(中文正文)" w:hAnsi="等线(中文正文)" w:cs="等线(中文正文)" w:eastAsia="等线(中文正文)"/>
          <w:b w:val="false"/>
          <w:i w:val="false"/>
          <w:sz w:val="20"/>
        </w:rPr>
        <w:t/>
      </w:r>
    </w:p>
    <w:p>
      <w:pPr>
        <w:pStyle w:val="ab"/>
        <w:numPr>
          <w:numId w:val="4"/>
        </w:numPr>
      </w:pPr>
      <w:r>
        <w:t>29:13 科技成长主线与二次点火资产分析</w:t>
      </w:r>
    </w:p>
    <w:p>
      <w:r>
        <w:rPr>
          <w:rFonts w:ascii="等线(中文正文)" w:hAnsi="等线(中文正文)" w:cs="等线(中文正文)" w:eastAsia="等线(中文正文)"/>
          <w:b w:val="false"/>
          <w:i w:val="false"/>
          <w:sz w:val="20"/>
        </w:rPr>
        <w:t>对话深入探讨了AI产业作为本轮牛市核心主线的重要性，强调了盈利支撑与增长斜率改善的二次点火资产价值。分析指出，科技主线尤其是国产算力、AI电力资本开支链、应用入口资产，以及部分周期和消费中的二次点火机会值得关注。尽管短期AI硬件利益格局有变，行业增长趋势未改，且当前交易结构虽热但不预示系统性风险。投资方向上，科技成长主线审美升级，建议关注上述重点领域的投资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首先主持会议，热烈欢迎所有参与者加入进门财经电话会议系统，并强调了此次会议的重要性，特别提醒大家输入密码以确保会议安全。他对大家的参与表达了诚挚的感谢，并预告会议即将开始，同时强调所有参与者需保持在线状态，以确保会议效果。在多个时段，他重复了上述内容，展现了其对会议流程的重视。
此外，他深入探讨了AI硬件利益格局的调整、市场调整的原因、产业内部结构的变化，以及以科技成长为主线的投资方向。他指出，尽管短期内行业可能会经历调整，但这并不改变行业的长期增长趋势，拥挤度的消化也不构成系统性风险。在此基础上，他重点推荐了国产算力、AI电力资本开支链、应用入口资产，以及在周期和消费领域中寻找点状二次点火机会作为投资方向，为投资者提供了具体的投资建议。
同时，他不忘提醒投资者注意会议的参与限制和版权声明，表达了对投资者理解与支持的感激之情，确保会议内容的合法合规传播。整个发言中，他不仅传达了会议的核心信息，还为投资者提供了深入的行业分析和投资指导。</w:t>
      </w:r>
    </w:p>
    <w:p>
      <w:r>
        <w:rPr>
          <w:rFonts w:ascii="等线(中文正文)" w:hAnsi="等线(中文正文)" w:cs="等线(中文正文)" w:eastAsia="等线(中文正文)"/>
          <w:b w:val="false"/>
          <w:i w:val="false"/>
          <w:sz w:val="20"/>
        </w:rPr>
        <w:t/>
      </w:r>
    </w:p>
    <w:p>
      <w:pPr>
        <w:pStyle w:val="a7"/>
      </w:pPr>
      <w:r>
        <w:t>要点回顾</w:t>
      </w:r>
    </w:p>
    <w:p>
      <w:pPr>
        <w:pStyle w:val="ab"/>
      </w:pPr>
      <w:r>
        <w:t>这次市场调整的主要触发因素是什么？AI硬件领域发生了什么样的变化，以及这种变化是否会影响整个AI产业的增长趋势？</w:t>
      </w:r>
    </w:p>
    <w:p>
      <w:r>
        <w:rPr>
          <w:rFonts w:ascii="等线(中文正文)" w:hAnsi="等线(中文正文)" w:cs="等线(中文正文)" w:eastAsia="等线(中文正文)"/>
          <w:b w:val="false"/>
          <w:i w:val="false"/>
          <w:sz w:val="20"/>
        </w:rPr>
        <w:t>发言人1：这次调整背后有两个触发因素，首先是美国非农数据超预期，引发了对美联储加息预期的担忧；其次，英伟达调整了ruin框架的机柜内存配比，导致市场重新审视AI硬件产业链内部利益分配，特别是订单收入和高利润是否会从存储环节转移到其他环节。AI硬件领域出现了一个重要的结构性变化，即内存配比的调整，市场开始担忧前期最强的存储及上下游设备材料环节的订单收入和高利润是否会因供应量问题而重新分配。但这种担忧本质上是产业链内部利益格局的调整，并非AI需求减弱，而是对未来格局变化的反应。AI算力需求并未被证伪，整个产业浪潮依然强劲。</w:t>
      </w:r>
    </w:p>
    <w:p>
      <w:r>
        <w:rPr>
          <w:rFonts w:ascii="等线(中文正文)" w:hAnsi="等线(中文正文)" w:cs="等线(中文正文)" w:eastAsia="等线(中文正文)"/>
          <w:b w:val="false"/>
          <w:i w:val="false"/>
          <w:sz w:val="20"/>
        </w:rPr>
        <w:t/>
      </w:r>
    </w:p>
    <w:p>
      <w:pPr>
        <w:pStyle w:val="ab"/>
      </w:pPr>
      <w:r>
        <w:t>非农数据对市场的影响可能是短期还是长期？</w:t>
      </w:r>
    </w:p>
    <w:p>
      <w:r>
        <w:rPr>
          <w:rFonts w:ascii="等线(中文正文)" w:hAnsi="等线(中文正文)" w:cs="等线(中文正文)" w:eastAsia="等线(中文正文)"/>
          <w:b w:val="false"/>
          <w:i w:val="false"/>
          <w:sz w:val="20"/>
        </w:rPr>
        <w:t>发言人1：非农数据虽然短期会引发对美联储加息路径的担忧，但其对市场的影响可能偏短期，因为劳动力市场的强劲并不一定意味着加息预期的持续强化。当前能源价格回落以及人民币汇率的韧性，都削弱了利率上升对A股的压力。</w:t>
      </w:r>
    </w:p>
    <w:p>
      <w:r>
        <w:rPr>
          <w:rFonts w:ascii="等线(中文正文)" w:hAnsi="等线(中文正文)" w:cs="等线(中文正文)" w:eastAsia="等线(中文正文)"/>
          <w:b w:val="false"/>
          <w:i w:val="false"/>
          <w:sz w:val="20"/>
        </w:rPr>
        <w:t/>
      </w:r>
    </w:p>
    <w:p>
      <w:pPr>
        <w:pStyle w:val="ab"/>
      </w:pPr>
      <w:r>
        <w:t>当前市场交易结构拥挤度是否构成系统性风险？</w:t>
      </w:r>
    </w:p>
    <w:p>
      <w:r>
        <w:rPr>
          <w:rFonts w:ascii="等线(中文正文)" w:hAnsi="等线(中文正文)" w:cs="等线(中文正文)" w:eastAsia="等线(中文正文)"/>
          <w:b w:val="false"/>
          <w:i w:val="false"/>
          <w:sz w:val="20"/>
        </w:rPr>
        <w:t>发言人1：尽管交易结构拥挤度上升，前5%成交个股占比已接近45%，这确实需要消化，但拥挤度本身并不构成系统性风险，它更多反映了市场在筛选结构上的变化。历史上A股出现类似拥挤度时，往往发生在牛市中，且最终并未改变牛市趋势。当前来看，盈利、流动性、风险偏好这三大要素并未出现系统性恶化，因此当前市场调整更多是交易结构的消化，而非系统性风险的确认。</w:t>
      </w:r>
    </w:p>
    <w:p>
      <w:r>
        <w:rPr>
          <w:rFonts w:ascii="等线(中文正文)" w:hAnsi="等线(中文正文)" w:cs="等线(中文正文)" w:eastAsia="等线(中文正文)"/>
          <w:b w:val="false"/>
          <w:i w:val="false"/>
          <w:sz w:val="20"/>
        </w:rPr>
        <w:t/>
      </w:r>
    </w:p>
    <w:p>
      <w:pPr>
        <w:pStyle w:val="ab"/>
      </w:pPr>
      <w:r>
        <w:t>在当前市场环境下，应该如何配置投资方向？</w:t>
      </w:r>
    </w:p>
    <w:p>
      <w:r>
        <w:rPr>
          <w:rFonts w:ascii="等线(中文正文)" w:hAnsi="等线(中文正文)" w:cs="等线(中文正文)" w:eastAsia="等线(中文正文)"/>
          <w:b w:val="false"/>
          <w:i w:val="false"/>
          <w:sz w:val="20"/>
        </w:rPr>
        <w:t>发言人1：在消化产业格局变化和资金拥挤的过程中，科技主线仍然是最强的主线，但投资策略应转向寻找同时具备高增长和增长改善的二次点火方向进行结构性升级。重点关注国产算力、AI电力资本开支链、应用入口资产以及部分周期和消费中的点状二次点火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2026-06-07T14:59:45Z</dcterms:created>
  <dc:creator>Apache POI</dc:creator>
</cp:coreProperties>
</file>