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华鑫证券  周末鑫风向 · 第141期：中美韩科技同步回落，是短期调整还是趋势扭转？ 260607_导读</w:t>
      </w:r>
    </w:p>
    <w:p>
      <w:pPr>
        <w:pStyle w:val="a0"/>
        <w:jc w:val="center"/>
      </w:pPr>
      <w:r>
        <w:t>2026年06月07日 22:53</w:t>
      </w:r>
    </w:p>
    <w:p>
      <w:pPr>
        <w:pStyle w:val="a7"/>
      </w:pPr>
      <w:r>
        <w:t>关键词</w:t>
      </w:r>
    </w:p>
    <w:p>
      <w:r>
        <w:rPr>
          <w:rFonts w:ascii="等线(中文正文)" w:hAnsi="等线(中文正文)" w:cs="等线(中文正文)" w:eastAsia="等线(中文正文)"/>
          <w:b w:val="false"/>
          <w:i w:val="false"/>
          <w:sz w:val="20"/>
        </w:rPr>
        <w:t xml:space="preserve">宏观策略 美债利率 加息预期 通胀 美股 科技成长板块 防御板块 日元套息交易 黄金 A股 固收加 煤炭 银行 光模块 存储 半导体 PMI数据 融资情绪 宏观流动性 实体部门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电话会议由华兴证券主办，面向专业投资机构客户和受邀嘉宾，主题为“中国新风向”，特别关注中美韩科技同步回落现象，探讨其是否为短期调整或趋势逆转。会议内容涵盖宏观策略分析、固收和大类资产配置建议，以及各行业组的最新观点。宏观策略部分指出，上周全球资产交易逻辑受强非农数据影响，导致美债利率上升，加密货币和大宗商品价格下跌。农业组和AI组分享了生猪板块和AI产业的最新动态，强调行业趋势、公司策略和投资机会。主讲人强调，尽管短期内科技板块面临获利了结情绪，但从长期来看，AI等硬科技领域发展趋势未变，建议等待调整后的再配置或加仓机会。整体上，会议提供了丰富的行业见解和投资指导。</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中美韩科技同步回落：短期调整抑或趋势转变</w:t>
      </w:r>
    </w:p>
    <w:p>
      <w:r>
        <w:rPr>
          <w:rFonts w:ascii="等线(中文正文)" w:hAnsi="等线(中文正文)" w:cs="等线(中文正文)" w:eastAsia="等线(中文正文)"/>
          <w:b w:val="false"/>
          <w:i w:val="false"/>
          <w:sz w:val="20"/>
        </w:rPr>
        <w:t>华信研究的周末新风向会议聚焦中美韩科技同步回落现象，探讨其性质是短期调整还是趋势扭转。会议涵盖宏观策略、固收及大类资产配置，以及汽车、农业和AI行业最新观点，强调信息保密与法律责任，不构成投资建议。</w:t>
      </w:r>
    </w:p>
    <w:p>
      <w:r>
        <w:rPr>
          <w:rFonts w:ascii="等线(中文正文)" w:hAnsi="等线(中文正文)" w:cs="等线(中文正文)" w:eastAsia="等线(中文正文)"/>
          <w:b w:val="false"/>
          <w:i w:val="false"/>
          <w:sz w:val="20"/>
        </w:rPr>
        <w:t/>
      </w:r>
    </w:p>
    <w:p>
      <w:pPr>
        <w:pStyle w:val="ab"/>
        <w:numPr>
          <w:numId w:val="2"/>
        </w:numPr>
      </w:pPr>
      <w:r>
        <w:t>01:11 美债利率走势与下周市场展望</w:t>
      </w:r>
    </w:p>
    <w:p>
      <w:r>
        <w:rPr>
          <w:rFonts w:ascii="等线(中文正文)" w:hAnsi="等线(中文正文)" w:cs="等线(中文正文)" w:eastAsia="等线(中文正文)"/>
          <w:b w:val="false"/>
          <w:i w:val="false"/>
          <w:sz w:val="20"/>
        </w:rPr>
        <w:t>上周全球资产交易逻辑受强非农数据主导，引发通胀恐慌和联储加息预期升温，导致美债利率上升、加密货币和大宗商品下跌。下周重点关注全球最大IPO、重要通胀数据公布及天量美债拍卖，这些因素可能影响美债利率走势，进而传导至其他资产。美债利率走势可能呈现追赶利率期货或相反趋势，具体取决于通胀数据表现和市场对加息预期的调整。结合大量美债拍卖和通胀压力，下周美债利率或面临脉冲式上升的压力测试，建议择机布局。</w:t>
      </w:r>
    </w:p>
    <w:p>
      <w:r>
        <w:rPr>
          <w:rFonts w:ascii="等线(中文正文)" w:hAnsi="等线(中文正文)" w:cs="等线(中文正文)" w:eastAsia="等线(中文正文)"/>
          <w:b w:val="false"/>
          <w:i w:val="false"/>
          <w:sz w:val="20"/>
        </w:rPr>
        <w:t/>
      </w:r>
    </w:p>
    <w:p>
      <w:pPr>
        <w:pStyle w:val="ab"/>
        <w:numPr>
          <w:numId w:val="3"/>
        </w:numPr>
      </w:pPr>
      <w:r>
        <w:t>05:11 SpaceX上市与美股科技板块风险分析</w:t>
      </w:r>
    </w:p>
    <w:p>
      <w:r>
        <w:rPr>
          <w:rFonts w:ascii="等线(中文正文)" w:hAnsi="等线(中文正文)" w:cs="等线(中文正文)" w:eastAsia="等线(中文正文)"/>
          <w:b w:val="false"/>
          <w:i w:val="false"/>
          <w:sz w:val="20"/>
        </w:rPr>
        <w:t>对话分析了SpaceX上市对美股科技板块的潜在影响，指出其可能引发获利了结和资金向防御板块转移。同时，讨论了日元套息交易对市场的影响，以及美债利率上升带来的风险。建议短期内维持防御策略，关注避险属性板块，等待硬科技再配置机会。</w:t>
      </w:r>
    </w:p>
    <w:p>
      <w:r>
        <w:rPr>
          <w:rFonts w:ascii="等线(中文正文)" w:hAnsi="等线(中文正文)" w:cs="等线(中文正文)" w:eastAsia="等线(中文正文)"/>
          <w:b w:val="false"/>
          <w:i w:val="false"/>
          <w:sz w:val="20"/>
        </w:rPr>
        <w:t/>
      </w:r>
    </w:p>
    <w:p>
      <w:pPr>
        <w:pStyle w:val="ab"/>
        <w:numPr>
          <w:numId w:val="4"/>
        </w:numPr>
      </w:pPr>
      <w:r>
        <w:t>08:48 短期交易机会与长期通胀影响分析</w:t>
      </w:r>
    </w:p>
    <w:p>
      <w:r>
        <w:rPr>
          <w:rFonts w:ascii="等线(中文正文)" w:hAnsi="等线(中文正文)" w:cs="等线(中文正文)" w:eastAsia="等线(中文正文)"/>
          <w:b w:val="false"/>
          <w:i w:val="false"/>
          <w:sz w:val="20"/>
        </w:rPr>
        <w:t>讨论了短期油价引发的通胀粘性及三季度需求破坏带来的交易机会，评估了长期结构性通胀对美债的影响。黄金市场跌破关键支撑位，但中长期逻辑未改，需等待筹码清洗后维持配置。国内PMI数据显示生产韧性但需求偏弱，A股延续震荡整固，建议止盈成长仓位，增配防御型板块，把握景气改善和AI算力回调机会。</w:t>
      </w:r>
    </w:p>
    <w:p>
      <w:r>
        <w:rPr>
          <w:rFonts w:ascii="等线(中文正文)" w:hAnsi="等线(中文正文)" w:cs="等线(中文正文)" w:eastAsia="等线(中文正文)"/>
          <w:b w:val="false"/>
          <w:i w:val="false"/>
          <w:sz w:val="20"/>
        </w:rPr>
        <w:t/>
      </w:r>
    </w:p>
    <w:p>
      <w:pPr>
        <w:pStyle w:val="ab"/>
        <w:numPr>
          <w:numId w:val="5"/>
        </w:numPr>
      </w:pPr>
      <w:r>
        <w:t>13:04 股债双杀下的市场复盘与流动性分析</w:t>
      </w:r>
    </w:p>
    <w:p>
      <w:r>
        <w:rPr>
          <w:rFonts w:ascii="等线(中文正文)" w:hAnsi="等线(中文正文)" w:cs="等线(中文正文)" w:eastAsia="等线(中文正文)"/>
          <w:b w:val="false"/>
          <w:i w:val="false"/>
          <w:sz w:val="20"/>
        </w:rPr>
        <w:t>上周市场呈现股债双杀态势，债券下跌幅度小于股票，股债性价比轻微偏向债券，权益市场中价值风格相对占优。宏观流动性方面，六月第一周实体部门拖累及资金面恢复不佳导致流动性收敛，资金面波动加大操作难度。风险偏好小幅回落，与前期预测基本一致。未来可能有阶段性反抽，但整体资金面情况预计不佳。</w:t>
      </w:r>
    </w:p>
    <w:p>
      <w:r>
        <w:rPr>
          <w:rFonts w:ascii="等线(中文正文)" w:hAnsi="等线(中文正文)" w:cs="等线(中文正文)" w:eastAsia="等线(中文正文)"/>
          <w:b w:val="false"/>
          <w:i w:val="false"/>
          <w:sz w:val="20"/>
        </w:rPr>
        <w:t/>
      </w:r>
    </w:p>
    <w:p>
      <w:pPr>
        <w:pStyle w:val="ab"/>
        <w:numPr>
          <w:numId w:val="6"/>
        </w:numPr>
      </w:pPr>
      <w:r>
        <w:t>16:52 宏观流动性平稳，价值类权益资产更优</w:t>
      </w:r>
    </w:p>
    <w:p>
      <w:r>
        <w:rPr>
          <w:rFonts w:ascii="等线(中文正文)" w:hAnsi="等线(中文正文)" w:cs="等线(中文正文)" w:eastAsia="等线(中文正文)"/>
          <w:b w:val="false"/>
          <w:i w:val="false"/>
          <w:sz w:val="20"/>
        </w:rPr>
        <w:t>对话讨论了月初资金面恢复不佳，实体部门仍在收缩，金融可能有波动，但整体宏观流动性平稳，不预期明显改善。建议降低仓位，若需配置，推荐偿债和价值类权益资产，认为价值类权益资产表现更优。</w:t>
      </w:r>
    </w:p>
    <w:p>
      <w:r>
        <w:rPr>
          <w:rFonts w:ascii="等线(中文正文)" w:hAnsi="等线(中文正文)" w:cs="等线(中文正文)" w:eastAsia="等线(中文正文)"/>
          <w:b w:val="false"/>
          <w:i w:val="false"/>
          <w:sz w:val="20"/>
        </w:rPr>
        <w:t/>
      </w:r>
    </w:p>
    <w:p>
      <w:pPr>
        <w:pStyle w:val="ab"/>
        <w:numPr>
          <w:numId w:val="7"/>
        </w:numPr>
      </w:pPr>
      <w:r>
        <w:t>18:49 机器人板块催化与语数供应链机遇</w:t>
      </w:r>
    </w:p>
    <w:p>
      <w:r>
        <w:rPr>
          <w:rFonts w:ascii="等线(中文正文)" w:hAnsi="等线(中文正文)" w:cs="等线(中文正文)" w:eastAsia="等线(中文正文)"/>
          <w:b w:val="false"/>
          <w:i w:val="false"/>
          <w:sz w:val="20"/>
        </w:rPr>
        <w:t>对话探讨了机器人板块的最新催化事件，即语数过会成功及与英伟达合作推出H2 plus版本机器人，该合作对语数的全球化进程具有实践性意义。语数作为硬件供应商，结合英伟达的芯片和模型，有助于缩短科研机构的研发周期。此合作带动了语数链在周二开始的行情上涨，主观多头资金青睐语数及其供应链公司，如魔术科技等，体现了语数作为未来物理AI硬件平台型供应商的稀缺性和核心地位。</w:t>
      </w:r>
    </w:p>
    <w:p>
      <w:r>
        <w:rPr>
          <w:rFonts w:ascii="等线(中文正文)" w:hAnsi="等线(中文正文)" w:cs="等线(中文正文)" w:eastAsia="等线(中文正文)"/>
          <w:b w:val="false"/>
          <w:i w:val="false"/>
          <w:sz w:val="20"/>
        </w:rPr>
        <w:t/>
      </w:r>
    </w:p>
    <w:p>
      <w:pPr>
        <w:pStyle w:val="ab"/>
        <w:numPr>
          <w:numId w:val="8"/>
        </w:numPr>
      </w:pPr>
      <w:r>
        <w:t>23:42 机械指数低位与新泉股份、凯迪股份的布局机会</w:t>
      </w:r>
    </w:p>
    <w:p>
      <w:r>
        <w:rPr>
          <w:rFonts w:ascii="等线(中文正文)" w:hAnsi="等线(中文正文)" w:cs="等线(中文正文)" w:eastAsia="等线(中文正文)"/>
          <w:b w:val="false"/>
          <w:i w:val="false"/>
          <w:sz w:val="20"/>
        </w:rPr>
        <w:t>讨论了六月和七月作为机械指数低位布局时机的合理性，重点提及新泉股份和凯迪股份在T供应链中的地位与潜力。新泉股份在产能推进和机器人业务方面展现出强劲决心，凯迪股份作为合作伙伴也将受益。预计新泉和凯迪的目标市值分别可达800亿和200亿，推荐关注这两家供应商的边际变化机会。</w:t>
      </w:r>
    </w:p>
    <w:p>
      <w:r>
        <w:rPr>
          <w:rFonts w:ascii="等线(中文正文)" w:hAnsi="等线(中文正文)" w:cs="等线(中文正文)" w:eastAsia="等线(中文正文)"/>
          <w:b w:val="false"/>
          <w:i w:val="false"/>
          <w:sz w:val="20"/>
        </w:rPr>
        <w:t/>
      </w:r>
    </w:p>
    <w:p>
      <w:pPr>
        <w:pStyle w:val="ab"/>
        <w:numPr>
          <w:numId w:val="9"/>
        </w:numPr>
      </w:pPr>
      <w:r>
        <w:t>28:07 生猪养殖行业分析与投资建议</w:t>
      </w:r>
    </w:p>
    <w:p>
      <w:r>
        <w:rPr>
          <w:rFonts w:ascii="等线(中文正文)" w:hAnsi="等线(中文正文)" w:cs="等线(中文正文)" w:eastAsia="等线(中文正文)"/>
          <w:b w:val="false"/>
          <w:i w:val="false"/>
          <w:sz w:val="20"/>
        </w:rPr>
        <w:t>对话深入探讨了生猪养殖行业现状，指出行业面临严重亏损，现金流紧张及债务压力大。预计猪价低迷将持续至10月，随后小幅回升，但整体行情不佳。建议投资者在行业低点布局，重点推荐德康农牧、正邦股份及牧原作为投资标的。</w:t>
      </w:r>
    </w:p>
    <w:p>
      <w:r>
        <w:rPr>
          <w:rFonts w:ascii="等线(中文正文)" w:hAnsi="等线(中文正文)" w:cs="等线(中文正文)" w:eastAsia="等线(中文正文)"/>
          <w:b w:val="false"/>
          <w:i w:val="false"/>
          <w:sz w:val="20"/>
        </w:rPr>
        <w:t/>
      </w:r>
    </w:p>
    <w:p>
      <w:pPr>
        <w:pStyle w:val="ab"/>
        <w:numPr>
          <w:numId w:val="10"/>
        </w:numPr>
      </w:pPr>
      <w:r>
        <w:t>30:42 行业现金流分析与公司市值评估</w:t>
      </w:r>
    </w:p>
    <w:p>
      <w:r>
        <w:rPr>
          <w:rFonts w:ascii="等线(中文正文)" w:hAnsi="等线(中文正文)" w:cs="等线(中文正文)" w:eastAsia="等线(中文正文)"/>
          <w:b w:val="false"/>
          <w:i w:val="false"/>
          <w:sz w:val="20"/>
        </w:rPr>
        <w:t>对话首先从行业现金流、成本和猪价预判三个维度分析了行业状况，指出2017年至2025年间行业现金流为负，债务高企，资本支出远超融资，利润微薄。随后，对话转向三家公司（沐源、德康、正邦）的风险与市值空间评估，但未提供具体数据或结论。整体来看，行业现金流状况不佳，公司面临较大财务压力。</w:t>
      </w:r>
    </w:p>
    <w:p>
      <w:r>
        <w:rPr>
          <w:rFonts w:ascii="等线(中文正文)" w:hAnsi="等线(中文正文)" w:cs="等线(中文正文)" w:eastAsia="等线(中文正文)"/>
          <w:b w:val="false"/>
          <w:i w:val="false"/>
          <w:sz w:val="20"/>
        </w:rPr>
        <w:t/>
      </w:r>
    </w:p>
    <w:p>
      <w:pPr>
        <w:pStyle w:val="ab"/>
        <w:numPr>
          <w:numId w:val="11"/>
        </w:numPr>
      </w:pPr>
      <w:r>
        <w:t>33:33 成本与猪价趋势分析：原料价格与生产效率的影响</w:t>
      </w:r>
    </w:p>
    <w:p>
      <w:r>
        <w:rPr>
          <w:rFonts w:ascii="等线(中文正文)" w:hAnsi="等线(中文正文)" w:cs="等线(中文正文)" w:eastAsia="等线(中文正文)"/>
          <w:b w:val="false"/>
          <w:i w:val="false"/>
          <w:sz w:val="20"/>
        </w:rPr>
        <w:t>成本分析显示饲料占大头，仔猪成本次之，原材料价格与生产效率提升影响成本变化，极端天气可能推高成本至12.5元以上。猪价受供需影响，预测五月至九月供需平衡，十月至次年一月有缺口，面临较大价格压力，十月价格可能达11-12元。</w:t>
      </w:r>
    </w:p>
    <w:p>
      <w:r>
        <w:rPr>
          <w:rFonts w:ascii="等线(中文正文)" w:hAnsi="等线(中文正文)" w:cs="等线(中文正文)" w:eastAsia="等线(中文正文)"/>
          <w:b w:val="false"/>
          <w:i w:val="false"/>
          <w:sz w:val="20"/>
        </w:rPr>
        <w:t/>
      </w:r>
    </w:p>
    <w:p>
      <w:pPr>
        <w:pStyle w:val="ab"/>
        <w:numPr>
          <w:numId w:val="12"/>
        </w:numPr>
      </w:pPr>
      <w:r>
        <w:t>36:49 2026-2027年养猪业预计持续亏损</w:t>
      </w:r>
    </w:p>
    <w:p>
      <w:r>
        <w:rPr>
          <w:rFonts w:ascii="等线(中文正文)" w:hAnsi="等线(中文正文)" w:cs="等线(中文正文)" w:eastAsia="等线(中文正文)"/>
          <w:b w:val="false"/>
          <w:i w:val="false"/>
          <w:sz w:val="20"/>
        </w:rPr>
        <w:t>对话内容指出，基于成本模型和猪价预测，养猪业预计从2026年1月至2027年1月将持续亏损，每公斤亏损超过一元。近期，行业去产能从3月开始，5月短暂回升后再次回落，预计未来三个月情况将进一步恶化。行业内部已出现现金流压力大和极端行为，大规模去产能或不久将至，整体行业前景不乐观。</w:t>
      </w:r>
    </w:p>
    <w:p>
      <w:r>
        <w:rPr>
          <w:rFonts w:ascii="等线(中文正文)" w:hAnsi="等线(中文正文)" w:cs="等线(中文正文)" w:eastAsia="等线(中文正文)"/>
          <w:b w:val="false"/>
          <w:i w:val="false"/>
          <w:sz w:val="20"/>
        </w:rPr>
        <w:t/>
      </w:r>
    </w:p>
    <w:p>
      <w:pPr>
        <w:pStyle w:val="ab"/>
        <w:numPr>
          <w:numId w:val="13"/>
        </w:numPr>
      </w:pPr>
      <w:r>
        <w:t>37:59 行业产能控制与上市公司优选分析</w:t>
      </w:r>
    </w:p>
    <w:p>
      <w:r>
        <w:rPr>
          <w:rFonts w:ascii="等线(中文正文)" w:hAnsi="等线(中文正文)" w:cs="等线(中文正文)" w:eastAsia="等线(中文正文)"/>
          <w:b w:val="false"/>
          <w:i w:val="false"/>
          <w:sz w:val="20"/>
        </w:rPr>
        <w:t>对话围绕国家控制产能的策略展开，强调落后产能淘汰，优选牧原、德康、正邦三家上市公司，基于成本和现金流优势。牧原现金流健康，未来三年预计年微增，屠宰业务发展迅速，预期利润可观，合理估值约2200亿市值加450亿海外业务估值，当前折价空间20%-50%。</w:t>
      </w:r>
    </w:p>
    <w:p>
      <w:r>
        <w:rPr>
          <w:rFonts w:ascii="等线(中文正文)" w:hAnsi="等线(中文正文)" w:cs="等线(中文正文)" w:eastAsia="等线(中文正文)"/>
          <w:b w:val="false"/>
          <w:i w:val="false"/>
          <w:sz w:val="20"/>
        </w:rPr>
        <w:t/>
      </w:r>
    </w:p>
    <w:p>
      <w:pPr>
        <w:pStyle w:val="ab"/>
        <w:numPr>
          <w:numId w:val="14"/>
        </w:numPr>
      </w:pPr>
      <w:r>
        <w:t>39:47 牧原与德康：成本控制与轻资产模式下的投资机会</w:t>
      </w:r>
    </w:p>
    <w:p>
      <w:r>
        <w:rPr>
          <w:rFonts w:ascii="等线(中文正文)" w:hAnsi="等线(中文正文)" w:cs="等线(中文正文)" w:eastAsia="等线(中文正文)"/>
          <w:b w:val="false"/>
          <w:i w:val="false"/>
          <w:sz w:val="20"/>
        </w:rPr>
        <w:t>对话深入探讨了牧原在成本控制方面的卓越表现及其对市场竞争力的影响，以及德康通过轻资产模式实现的优秀现金流状况。德康当前市值200亿，预计三年内可达400亿，基于其自产自养比例低、合同负债影响下的财务健康，以及稳定收入与利润，被视为当前市场环境下具有高性价比的投资标的。</w:t>
      </w:r>
    </w:p>
    <w:p>
      <w:r>
        <w:rPr>
          <w:rFonts w:ascii="等线(中文正文)" w:hAnsi="等线(中文正文)" w:cs="等线(中文正文)" w:eastAsia="等线(中文正文)"/>
          <w:b w:val="false"/>
          <w:i w:val="false"/>
          <w:sz w:val="20"/>
        </w:rPr>
        <w:t/>
      </w:r>
    </w:p>
    <w:p>
      <w:pPr>
        <w:pStyle w:val="ab"/>
        <w:numPr>
          <w:numId w:val="15"/>
        </w:numPr>
      </w:pPr>
      <w:r>
        <w:t>41:28 生猪板块现状与正邦双胞胎重组展望</w:t>
      </w:r>
    </w:p>
    <w:p>
      <w:r>
        <w:rPr>
          <w:rFonts w:ascii="等线(中文正文)" w:hAnsi="等线(中文正文)" w:cs="等线(中文正文)" w:eastAsia="等线(中文正文)"/>
          <w:b w:val="false"/>
          <w:i w:val="false"/>
          <w:sz w:val="20"/>
        </w:rPr>
        <w:t>对话深入探讨了生猪板块的现状，指出行业现金流紧张、成本上升及猪价低迷等问题，预示未来行业挑战重重。特别聚焦于正邦集团与双胞胎集团的重组进程，预计年底催化注入资产，将显著提升双方在生猪与饲料领域的市场地位。正邦与双胞胎重组后，合理市值预期为1300亿至1500亿，当前市值存在50%至100%的增长空间。建议优先关注德康、正邦与牧原等标的，分别预估1倍、50%至100%及20%至50%的增长潜力。</w:t>
      </w:r>
    </w:p>
    <w:p>
      <w:r>
        <w:rPr>
          <w:rFonts w:ascii="等线(中文正文)" w:hAnsi="等线(中文正文)" w:cs="等线(中文正文)" w:eastAsia="等线(中文正文)"/>
          <w:b w:val="false"/>
          <w:i w:val="false"/>
          <w:sz w:val="20"/>
        </w:rPr>
        <w:t/>
      </w:r>
    </w:p>
    <w:p>
      <w:pPr>
        <w:pStyle w:val="ab"/>
        <w:numPr>
          <w:numId w:val="16"/>
        </w:numPr>
      </w:pPr>
      <w:r>
        <w:t>43:27 AI行情调整分析与中长期趋势展望</w:t>
      </w:r>
    </w:p>
    <w:p>
      <w:r>
        <w:rPr>
          <w:rFonts w:ascii="等线(中文正文)" w:hAnsi="等线(中文正文)" w:cs="等线(中文正文)" w:eastAsia="等线(中文正文)"/>
          <w:b w:val="false"/>
          <w:i w:val="false"/>
          <w:sz w:val="20"/>
        </w:rPr>
        <w:t>针对近期美股AI板块的剧烈调整，分析认为这主要是短期因素导致，而非趋势逆转。从AI编程、多模态物理AI及RSI自我改进三个维度，阐述了AI产业的中长期乐观前景，强调了核心公司和确定性投资策略的重要性。</w:t>
      </w:r>
    </w:p>
    <w:p>
      <w:r>
        <w:rPr>
          <w:rFonts w:ascii="等线(中文正文)" w:hAnsi="等线(中文正文)" w:cs="等线(中文正文)" w:eastAsia="等线(中文正文)"/>
          <w:b w:val="false"/>
          <w:i w:val="false"/>
          <w:sz w:val="20"/>
        </w:rPr>
        <w:t/>
      </w:r>
    </w:p>
    <w:p>
      <w:pPr>
        <w:pStyle w:val="ab"/>
        <w:numPr>
          <w:numId w:val="17"/>
        </w:numPr>
      </w:pPr>
      <w:r>
        <w:t>50:21 AI硬件与国产算力发展方向分析</w:t>
      </w:r>
    </w:p>
    <w:p>
      <w:r>
        <w:rPr>
          <w:rFonts w:ascii="等线(中文正文)" w:hAnsi="等线(中文正文)" w:cs="等线(中文正文)" w:eastAsia="等线(中文正文)"/>
          <w:b w:val="false"/>
          <w:i w:val="false"/>
          <w:sz w:val="20"/>
        </w:rPr>
        <w:t>会议分享了AI硬件领域的四大投资方向：CPU板块，强调其确定性与巨大潜力，推荐聚光科技等企业；国产算力，看好腾讯、小米等大厂的AI战略推进，建议关注寒武纪、生成链等；多模态与物理I，建议关注端测AI方向如科森科技；并分析了内外部事件对科技获利了结情绪的影响，强调中长期AI硬成长逻辑不变，期待调整后配置机会。</w:t>
      </w:r>
    </w:p>
    <w:p>
      <w:r>
        <w:rPr>
          <w:rFonts w:ascii="等线(中文正文)" w:hAnsi="等线(中文正文)" w:cs="等线(中文正文)" w:eastAsia="等线(中文正文)"/>
          <w:b w:val="false"/>
          <w:i w:val="false"/>
          <w:sz w:val="20"/>
        </w:rPr>
        <w:t/>
      </w:r>
    </w:p>
    <w:p>
      <w:pPr>
        <w:pStyle w:val="a7"/>
      </w:pPr>
      <w:r>
        <w:t>发言总结</w:t>
      </w:r>
    </w:p>
    <w:p>
      <w:pPr>
        <w:pStyle w:val="ab"/>
        <w:numPr>
          <w:numId w:val="18"/>
        </w:numPr>
      </w:pPr>
      <w:r>
        <w:t>发言人1</w:t>
      </w:r>
    </w:p>
    <w:p>
      <w:r>
        <w:rPr>
          <w:rFonts w:ascii="等线(中文正文)" w:hAnsi="等线(中文正文)" w:cs="等线(中文正文)" w:eastAsia="等线(中文正文)"/>
          <w:b w:val="false"/>
          <w:i w:val="false"/>
          <w:sz w:val="20"/>
        </w:rPr>
        <w:t>主持并介绍了华兴证券组织的一次面向专业投资机构客户或受邀客户的电话会议。会议内容丰富，覆盖了中美韩科技板块的市场动态、宏观经济策略、固收和大类资产配置、汽车、农业以及AI领域的最新观点分享。他强调会议内容不构成投资建议，参与者需自行承担风险，并提醒会议内容不得未经许可对外公布。此外，他讨论了全球最大的IPO上市、通胀数据公布和美债拍卖等即将到来的重要事件对市场趋势的影响，同时对AI领域的前景表示乐观，提及多模态和物理AI的发展，以及RSI概念对未来AI产业的影响。尽管短期内市场可能面临调整，他认为从中长期来看，AI产业的发展仍持乐观态度。</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问：在本次电话会议中，主要分享的内容有哪些？</w:t>
      </w:r>
    </w:p>
    <w:p>
      <w:r>
        <w:rPr>
          <w:rFonts w:ascii="等线(中文正文)" w:hAnsi="等线(中文正文)" w:cs="等线(中文正文)" w:eastAsia="等线(中文正文)"/>
          <w:b w:val="false"/>
          <w:i w:val="false"/>
          <w:sz w:val="20"/>
        </w:rPr>
        <w:t>发言人1 答：本次会议主要分享的内容包括总量组的宏观策略、固收和大类资产配置，以及行业组中汽车组、农业组和AI组的最新观点。</w:t>
      </w:r>
    </w:p>
    <w:p>
      <w:r>
        <w:rPr>
          <w:rFonts w:ascii="等线(中文正文)" w:hAnsi="等线(中文正文)" w:cs="等线(中文正文)" w:eastAsia="等线(中文正文)"/>
          <w:b w:val="false"/>
          <w:i w:val="false"/>
          <w:sz w:val="20"/>
        </w:rPr>
        <w:t/>
      </w:r>
    </w:p>
    <w:p>
      <w:pPr>
        <w:pStyle w:val="ab"/>
      </w:pPr>
      <w:r>
        <w:t>发言人1 问：上周全球资产的核心交易逻辑是什么？</w:t>
      </w:r>
    </w:p>
    <w:p>
      <w:r>
        <w:rPr>
          <w:rFonts w:ascii="等线(中文正文)" w:hAnsi="等线(中文正文)" w:cs="等线(中文正文)" w:eastAsia="等线(中文正文)"/>
          <w:b w:val="false"/>
          <w:i w:val="false"/>
          <w:sz w:val="20"/>
        </w:rPr>
        <w:t>发言人1 答：上周全球资产的核心交易逻辑主要由强非农数据主导，导致市场对于通胀反弹和联储加息预期再度升温，引发了通胀恐慌，美债利率上升至4.5左右，加密货币、大宗商品出现大幅跌幅，美股科技和成长板块也遭遇剧烈资金出逃。</w:t>
      </w:r>
    </w:p>
    <w:p>
      <w:r>
        <w:rPr>
          <w:rFonts w:ascii="等线(中文正文)" w:hAnsi="等线(中文正文)" w:cs="等线(中文正文)" w:eastAsia="等线(中文正文)"/>
          <w:b w:val="false"/>
          <w:i w:val="false"/>
          <w:sz w:val="20"/>
        </w:rPr>
        <w:t/>
      </w:r>
    </w:p>
    <w:p>
      <w:pPr>
        <w:pStyle w:val="ab"/>
      </w:pPr>
      <w:r>
        <w:t>发言人1 问：下周值得关注的海外事件有哪些？</w:t>
      </w:r>
    </w:p>
    <w:p>
      <w:r>
        <w:rPr>
          <w:rFonts w:ascii="等线(中文正文)" w:hAnsi="等线(中文正文)" w:cs="等线(中文正文)" w:eastAsia="等线(中文正文)"/>
          <w:b w:val="false"/>
          <w:i w:val="false"/>
          <w:sz w:val="20"/>
        </w:rPr>
        <w:t>发言人1 答：下周值得关注的海外事件有三个：一是全球最大的IPO——CBX上市；二是非常重要的通胀数据公布；三是大规模美债拍卖对市场的影响。</w:t>
      </w:r>
    </w:p>
    <w:p>
      <w:r>
        <w:rPr>
          <w:rFonts w:ascii="等线(中文正文)" w:hAnsi="等线(中文正文)" w:cs="等线(中文正文)" w:eastAsia="等线(中文正文)"/>
          <w:b w:val="false"/>
          <w:i w:val="false"/>
          <w:sz w:val="20"/>
        </w:rPr>
        <w:t/>
      </w:r>
    </w:p>
    <w:p>
      <w:pPr>
        <w:pStyle w:val="ab"/>
      </w:pPr>
      <w:r>
        <w:t>发言人1 问：对于下周美债利率的变化预期是什么？</w:t>
      </w:r>
    </w:p>
    <w:p>
      <w:r>
        <w:rPr>
          <w:rFonts w:ascii="等线(中文正文)" w:hAnsi="等线(中文正文)" w:cs="等线(中文正文)" w:eastAsia="等线(中文正文)"/>
          <w:b w:val="false"/>
          <w:i w:val="false"/>
          <w:sz w:val="20"/>
        </w:rPr>
        <w:t>发言人1 答：下周美债利率可能会有一次脉冲式的利率上升压力测试，建议择机布局。同时，由于SpaceX上市、日元套息交易等因素，美股科技板块存在获利了结和换仓压力，整体策略倾向于防御，推荐向必需消费、技术、软件等避险属性较强的板块倾斜。</w:t>
      </w:r>
    </w:p>
    <w:p>
      <w:r>
        <w:rPr>
          <w:rFonts w:ascii="等线(中文正文)" w:hAnsi="等线(中文正文)" w:cs="等线(中文正文)" w:eastAsia="等线(中文正文)"/>
          <w:b w:val="false"/>
          <w:i w:val="false"/>
          <w:sz w:val="20"/>
        </w:rPr>
        <w:t/>
      </w:r>
    </w:p>
    <w:p>
      <w:pPr>
        <w:pStyle w:val="ab"/>
      </w:pPr>
      <w:r>
        <w:t>发言人1 问：美债利率走势如何，可能的走势有哪些？</w:t>
      </w:r>
    </w:p>
    <w:p>
      <w:r>
        <w:rPr>
          <w:rFonts w:ascii="等线(中文正文)" w:hAnsi="等线(中文正文)" w:cs="等线(中文正文)" w:eastAsia="等线(中文正文)"/>
          <w:b w:val="false"/>
          <w:i w:val="false"/>
          <w:sz w:val="20"/>
        </w:rPr>
        <w:t>发言人1 答：美债利率本周呈现割裂定价，非农数据虽使短期利率期货创下新高，但十年期美债利率并未创新高。美债利率可能有两种走势：一种是赶追利率期货的恐慌定价，即美债市场低估了联储加息风险；另一种是利率期货追赶美债利率，即市场对加息预期非理性定价，若实际通胀数据未超预期或伊朗与美国谈判出现实质性利好，将导致长端美债利率收敛。</w:t>
      </w:r>
    </w:p>
    <w:p>
      <w:r>
        <w:rPr>
          <w:rFonts w:ascii="等线(中文正文)" w:hAnsi="等线(中文正文)" w:cs="等线(中文正文)" w:eastAsia="等线(中文正文)"/>
          <w:b w:val="false"/>
          <w:i w:val="false"/>
          <w:sz w:val="20"/>
        </w:rPr>
        <w:t/>
      </w:r>
    </w:p>
    <w:p>
      <w:pPr>
        <w:pStyle w:val="ab"/>
      </w:pPr>
      <w:r>
        <w:t>发言人1 问：国内上周PMI数据情况如何？</w:t>
      </w:r>
    </w:p>
    <w:p>
      <w:r>
        <w:rPr>
          <w:rFonts w:ascii="等线(中文正文)" w:hAnsi="等线(中文正文)" w:cs="等线(中文正文)" w:eastAsia="等线(中文正文)"/>
          <w:b w:val="false"/>
          <w:i w:val="false"/>
          <w:sz w:val="20"/>
        </w:rPr>
        <w:t>发言人1 答：上周公布的五月份PMI数据显示，整体数据偏季节性回落，生产端韧性较强但仍维持强势，而需求端偏弱，新订单成为拖累项，产业分化趋势进一步凸显。</w:t>
      </w:r>
    </w:p>
    <w:p>
      <w:r>
        <w:rPr>
          <w:rFonts w:ascii="等线(中文正文)" w:hAnsi="等线(中文正文)" w:cs="等线(中文正文)" w:eastAsia="等线(中文正文)"/>
          <w:b w:val="false"/>
          <w:i w:val="false"/>
          <w:sz w:val="20"/>
        </w:rPr>
        <w:t/>
      </w:r>
    </w:p>
    <w:p>
      <w:pPr>
        <w:pStyle w:val="ab"/>
      </w:pPr>
      <w:r>
        <w:t>发言人1 问：上周A股市场的整体情况如何，以及资金情绪方面的表现？</w:t>
      </w:r>
    </w:p>
    <w:p>
      <w:r>
        <w:rPr>
          <w:rFonts w:ascii="等线(中文正文)" w:hAnsi="等线(中文正文)" w:cs="等线(中文正文)" w:eastAsia="等线(中文正文)"/>
          <w:b w:val="false"/>
          <w:i w:val="false"/>
          <w:sz w:val="20"/>
        </w:rPr>
        <w:t>发言人1 答：上周A股市场呈现股债双杀的局面，其中债券下跌幅度相对较小。从资金情绪上看，边际资金情绪有所回落，表现为融资降温及ETF资金净买入减少，同时固收加的资金出现了反常逆势增配的情况。北向资金维持流入状态，但整体编辑资金情绪仍偏回落。因此，我们认为A股市场延续震荡整固是大势所趋，建议进一步止盈、减仓前期浮盈仓位，并增配防御型板块，把握风格再平衡和高景气轮动结构的机会。</w:t>
      </w:r>
    </w:p>
    <w:p>
      <w:r>
        <w:rPr>
          <w:rFonts w:ascii="等线(中文正文)" w:hAnsi="等线(中文正文)" w:cs="等线(中文正文)" w:eastAsia="等线(中文正文)"/>
          <w:b w:val="false"/>
          <w:i w:val="false"/>
          <w:sz w:val="20"/>
        </w:rPr>
        <w:t/>
      </w:r>
    </w:p>
    <w:p>
      <w:pPr>
        <w:pStyle w:val="ab"/>
      </w:pPr>
      <w:r>
        <w:t>发言人1 问：对于下周的投资策略，有哪些行业是推荐关注的？</w:t>
      </w:r>
    </w:p>
    <w:p>
      <w:r>
        <w:rPr>
          <w:rFonts w:ascii="等线(中文正文)" w:hAnsi="等线(中文正文)" w:cs="等线(中文正文)" w:eastAsia="等线(中文正文)"/>
          <w:b w:val="false"/>
          <w:i w:val="false"/>
          <w:sz w:val="20"/>
        </w:rPr>
        <w:t>发言人1 答：下周的投资策略主要关注三个方向：一是低位防御类板块，如高股息的电力、公共事业和银行等；二是景气改善方向，比如煤炭、化纤等行业，因为6月份景气度会逐步回升；三是AI算力回调后的布局机会，特别是优先配置业绩兑现明确的方向，例如光模块、存储和半导体等。</w:t>
      </w:r>
    </w:p>
    <w:p>
      <w:r>
        <w:rPr>
          <w:rFonts w:ascii="等线(中文正文)" w:hAnsi="等线(中文正文)" w:cs="等线(中文正文)" w:eastAsia="等线(中文正文)"/>
          <w:b w:val="false"/>
          <w:i w:val="false"/>
          <w:sz w:val="20"/>
        </w:rPr>
        <w:t/>
      </w:r>
    </w:p>
    <w:p>
      <w:pPr>
        <w:pStyle w:val="ab"/>
      </w:pPr>
      <w:r>
        <w:t>发言人1 问：上周宏观流动性和风险偏好如何，对未来有何展望？</w:t>
      </w:r>
    </w:p>
    <w:p>
      <w:r>
        <w:rPr>
          <w:rFonts w:ascii="等线(中文正文)" w:hAnsi="等线(中文正文)" w:cs="等线(中文正文)" w:eastAsia="等线(中文正文)"/>
          <w:b w:val="false"/>
          <w:i w:val="false"/>
          <w:sz w:val="20"/>
        </w:rPr>
        <w:t>发言人1 答：上周宏观流动性偏收敛，尤其是在六月第一周，实体部门的缩表和金融部门资金面恢复不理想导致整体流动性紧缩。风险偏好方面出现小幅回落，国债性价比轻微偏向于债券。本周（明天开盘这一周），预计实体部门仍将维持收敛状态，但收敛幅度可能会比上周有所减小；资金面可能会出现阶段性反抽，但时间和空间维度都存在较大不确定性。因此，建议降低仓位，若必须配置资产，则偏向于偿债和价值类权益资产，如红利指数和上证50指数。同时，风险偏好短期内似乎看不到显著改善的理由，仍处于较高位置。</w:t>
      </w:r>
    </w:p>
    <w:p>
      <w:r>
        <w:rPr>
          <w:rFonts w:ascii="等线(中文正文)" w:hAnsi="等线(中文正文)" w:cs="等线(中文正文)" w:eastAsia="等线(中文正文)"/>
          <w:b w:val="false"/>
          <w:i w:val="false"/>
          <w:sz w:val="20"/>
        </w:rPr>
        <w:t/>
      </w:r>
    </w:p>
    <w:p>
      <w:pPr>
        <w:pStyle w:val="ab"/>
      </w:pPr>
      <w:r>
        <w:t>发言人1 问：为什么NV会去推动机器人模型和芯片的合作？这次合作对语数链有什么影响？</w:t>
      </w:r>
    </w:p>
    <w:p>
      <w:r>
        <w:rPr>
          <w:rFonts w:ascii="等线(中文正文)" w:hAnsi="等线(中文正文)" w:cs="等线(中文正文)" w:eastAsia="等线(中文正文)"/>
          <w:b w:val="false"/>
          <w:i w:val="false"/>
          <w:sz w:val="20"/>
        </w:rPr>
        <w:t>发言人1 答：NV希望通过与硬件厂商合作，在机器人模型和芯片领域完成其生态布局，利用合作伙伴来扩大芯片和模型的应用范围。这次合作直接带动了整个语数链在周二出现良好的行情表现，并且观察到初期有量化资金和游资买入相关情绪标的，如东南利得和长生等公司。</w:t>
      </w:r>
    </w:p>
    <w:p>
      <w:r>
        <w:rPr>
          <w:rFonts w:ascii="等线(中文正文)" w:hAnsi="等线(中文正文)" w:cs="等线(中文正文)" w:eastAsia="等线(中文正文)"/>
          <w:b w:val="false"/>
          <w:i w:val="false"/>
          <w:sz w:val="20"/>
        </w:rPr>
        <w:t/>
      </w:r>
    </w:p>
    <w:p>
      <w:pPr>
        <w:pStyle w:val="ab"/>
      </w:pPr>
      <w:r>
        <w:t>发言人1 问：周三和周四的情况如何变化？语数在机器人发展中扮演什么角色？</w:t>
      </w:r>
    </w:p>
    <w:p>
      <w:r>
        <w:rPr>
          <w:rFonts w:ascii="等线(中文正文)" w:hAnsi="等线(中文正文)" w:cs="等线(中文正文)" w:eastAsia="等线(中文正文)"/>
          <w:b w:val="false"/>
          <w:i w:val="false"/>
          <w:sz w:val="20"/>
        </w:rPr>
        <w:t>发言人1 答：周三和周四时，主观多头开始买入这些公司，特别是具有真实语数订单的厂商，例如魔术科技、奥比中光宇、定投股份等。语数可能是未来NV发展物理AI的一个关键硬件平台型供应商，其供应链将因此受益。其中，魔术科技作为语数链和T链双核心供应商，在事件后股价出现了显著上涨。</w:t>
      </w:r>
    </w:p>
    <w:p>
      <w:r>
        <w:rPr>
          <w:rFonts w:ascii="等线(中文正文)" w:hAnsi="等线(中文正文)" w:cs="等线(中文正文)" w:eastAsia="等线(中文正文)"/>
          <w:b w:val="false"/>
          <w:i w:val="false"/>
          <w:sz w:val="20"/>
        </w:rPr>
        <w:t/>
      </w:r>
    </w:p>
    <w:p>
      <w:pPr>
        <w:pStyle w:val="ab"/>
      </w:pPr>
      <w:r>
        <w:t>发言人1 问：除了魔术科技外，还有哪些值得关注的布局机会？</w:t>
      </w:r>
    </w:p>
    <w:p>
      <w:r>
        <w:rPr>
          <w:rFonts w:ascii="等线(中文正文)" w:hAnsi="等线(中文正文)" w:cs="等线(中文正文)" w:eastAsia="等线(中文正文)"/>
          <w:b w:val="false"/>
          <w:i w:val="false"/>
          <w:sz w:val="20"/>
        </w:rPr>
        <w:t>发言人1 答：在六月份和七月份，新泉股份和凯迪股份是很好的布局机会。新泉股份在机器人产能推进方面有较强决心和快速突破的潜力，而凯迪股份作为新泉的合作伙伴，也会从机器人业务中获得收益。</w:t>
      </w:r>
    </w:p>
    <w:p>
      <w:r>
        <w:rPr>
          <w:rFonts w:ascii="等线(中文正文)" w:hAnsi="等线(中文正文)" w:cs="等线(中文正文)" w:eastAsia="等线(中文正文)"/>
          <w:b w:val="false"/>
          <w:i w:val="false"/>
          <w:sz w:val="20"/>
        </w:rPr>
        <w:t/>
      </w:r>
    </w:p>
    <w:p>
      <w:pPr>
        <w:pStyle w:val="ab"/>
      </w:pPr>
      <w:r>
        <w:t>发言人1 问：生猪板块目前的情况如何？</w:t>
      </w:r>
    </w:p>
    <w:p>
      <w:r>
        <w:rPr>
          <w:rFonts w:ascii="等线(中文正文)" w:hAnsi="等线(中文正文)" w:cs="等线(中文正文)" w:eastAsia="等线(中文正文)"/>
          <w:b w:val="false"/>
          <w:i w:val="false"/>
          <w:sz w:val="20"/>
        </w:rPr>
        <w:t>发言人1 答：生猪板块目前面临严重的现金流问题和债务压力，真正有钱并能扩张的企业稀缺。国家已进行产能调控，预计未来几个月猪价将持续低迷，行业将面临一整年亏损的局面。因此建议在当前位置积极布局生猪养殖板块，首选标的为德康农牧，其次正邦股份和牧原股份也有较大市值空间。</w:t>
      </w:r>
    </w:p>
    <w:p>
      <w:r>
        <w:rPr>
          <w:rFonts w:ascii="等线(中文正文)" w:hAnsi="等线(中文正文)" w:cs="等线(中文正文)" w:eastAsia="等线(中文正文)"/>
          <w:b w:val="false"/>
          <w:i w:val="false"/>
          <w:sz w:val="20"/>
        </w:rPr>
        <w:t/>
      </w:r>
    </w:p>
    <w:p>
      <w:pPr>
        <w:pStyle w:val="ab"/>
      </w:pPr>
      <w:r>
        <w:t>发言人1 问：在现金流维度上，从18年到25年，行业的现金流情况如何？</w:t>
      </w:r>
    </w:p>
    <w:p>
      <w:r>
        <w:rPr>
          <w:rFonts w:ascii="等线(中文正文)" w:hAnsi="等线(中文正文)" w:cs="等线(中文正文)" w:eastAsia="等线(中文正文)"/>
          <w:b w:val="false"/>
          <w:i w:val="false"/>
          <w:sz w:val="20"/>
        </w:rPr>
        <w:t>发言人1 答：整个行业从18年到25年的现金流是负的，主要表现为欠债较多且需要偿还，同时融资与资本支出大致成一倍关系，利润占资本开支的三分之一左右。即使到25年年底，虽然行业整体盈利，但现金流压力依然较大。</w:t>
      </w:r>
    </w:p>
    <w:p>
      <w:r>
        <w:rPr>
          <w:rFonts w:ascii="等线(中文正文)" w:hAnsi="等线(中文正文)" w:cs="等线(中文正文)" w:eastAsia="等线(中文正文)"/>
          <w:b w:val="false"/>
          <w:i w:val="false"/>
          <w:sz w:val="20"/>
        </w:rPr>
        <w:t/>
      </w:r>
    </w:p>
    <w:p>
      <w:pPr>
        <w:pStyle w:val="ab"/>
      </w:pPr>
      <w:r>
        <w:t>发言人1 问：成本方面，行业的主要成本构成是什么？未来预测如何？</w:t>
      </w:r>
    </w:p>
    <w:p>
      <w:r>
        <w:rPr>
          <w:rFonts w:ascii="等线(中文正文)" w:hAnsi="等线(中文正文)" w:cs="等线(中文正文)" w:eastAsia="等线(中文正文)"/>
          <w:b w:val="false"/>
          <w:i w:val="false"/>
          <w:sz w:val="20"/>
        </w:rPr>
        <w:t>发言人1 答：行业的主要成本中，饲料成本占据大头，约60%-70%，仔猪成本约占10%-20%，还有其他一些费用。我们基于历史数据每月平滑成本，并对未来进行了预测，考虑了豆粕和玉米价格波动以及生产效率提升的因素。如果原材料价格因极端天气等影响上涨，成本压力将会更大。</w:t>
      </w:r>
    </w:p>
    <w:p>
      <w:r>
        <w:rPr>
          <w:rFonts w:ascii="等线(中文正文)" w:hAnsi="等线(中文正文)" w:cs="等线(中文正文)" w:eastAsia="等线(中文正文)"/>
          <w:b w:val="false"/>
          <w:i w:val="false"/>
          <w:sz w:val="20"/>
        </w:rPr>
        <w:t/>
      </w:r>
    </w:p>
    <w:p>
      <w:pPr>
        <w:pStyle w:val="ab"/>
      </w:pPr>
      <w:r>
        <w:t>发言人1 问：对于猪价的预测及其对未来行业影响是什么？</w:t>
      </w:r>
    </w:p>
    <w:p>
      <w:r>
        <w:rPr>
          <w:rFonts w:ascii="等线(中文正文)" w:hAnsi="等线(中文正文)" w:cs="等线(中文正文)" w:eastAsia="等线(中文正文)"/>
          <w:b w:val="false"/>
          <w:i w:val="false"/>
          <w:sz w:val="20"/>
        </w:rPr>
        <w:t>发言人1 答：猪价受供给和需求影响，我们通过拟合历史数据得出一个函数关系，用来推测未来供需状况和猪价走势。预计从5月份开始到9月份供需相对平衡，10月份出现微小缺口，之后又逐渐回补。今年猪价压力依然较大，预计从2026年1月到2027年1月，行业将面临持续亏损的局面。</w:t>
      </w:r>
    </w:p>
    <w:p>
      <w:r>
        <w:rPr>
          <w:rFonts w:ascii="等线(中文正文)" w:hAnsi="等线(中文正文)" w:cs="等线(中文正文)" w:eastAsia="等线(中文正文)"/>
          <w:b w:val="false"/>
          <w:i w:val="false"/>
          <w:sz w:val="20"/>
        </w:rPr>
        <w:t/>
      </w:r>
    </w:p>
    <w:p>
      <w:pPr>
        <w:pStyle w:val="ab"/>
      </w:pPr>
      <w:r>
        <w:t>发言人1 问：针对目前行业现状及未来布局，有哪些公司具有较好的投资性价比？</w:t>
      </w:r>
    </w:p>
    <w:p>
      <w:r>
        <w:rPr>
          <w:rFonts w:ascii="等线(中文正文)" w:hAnsi="等线(中文正文)" w:cs="等线(中文正文)" w:eastAsia="等线(中文正文)"/>
          <w:b w:val="false"/>
          <w:i w:val="false"/>
          <w:sz w:val="20"/>
        </w:rPr>
        <w:t>发言人1 答：结合成本模型和猪价预测模型，我们优选了牧原、神龙、德康和正邦四家公司。其中，德康现金流状况良好，轻资产运营模式使其具有较高的投资性价比，预期市值可达200亿，较当前市值存在20%至50%的折价空间。而牧原的核心竞争力在于成本控制能力和向海外市场拓展，其核心资产及折旧摊销等会计处理需适当调整后考虑其内在价值。</w:t>
      </w:r>
    </w:p>
    <w:p>
      <w:r>
        <w:rPr>
          <w:rFonts w:ascii="等线(中文正文)" w:hAnsi="等线(中文正文)" w:cs="等线(中文正文)" w:eastAsia="等线(中文正文)"/>
          <w:b w:val="false"/>
          <w:i w:val="false"/>
          <w:sz w:val="20"/>
        </w:rPr>
        <w:t/>
      </w:r>
    </w:p>
    <w:p>
      <w:pPr>
        <w:pStyle w:val="ab"/>
      </w:pPr>
      <w:r>
        <w:t>发言人1 问：正邦的情况如何，以及其与双胞胎的合并对市值的影响是什么？</w:t>
      </w:r>
    </w:p>
    <w:p>
      <w:r>
        <w:rPr>
          <w:rFonts w:ascii="等线(中文正文)" w:hAnsi="等线(中文正文)" w:cs="等线(中文正文)" w:eastAsia="等线(中文正文)"/>
          <w:b w:val="false"/>
          <w:i w:val="false"/>
          <w:sz w:val="20"/>
        </w:rPr>
        <w:t>发言人1 答：正邦今年年底将经历一个双胞胎事件的催化，债务情况已大幅改善，短债和长债均降到较低水平，成本也持续调整。正邦本身拥有生猪和饲料业务，双胞胎同样涉及生猪和饲料，两者合并后，我们预判正邦和双胞胎整体市值增长空间可达50%至1倍，即市值可能从目前正邦的300亿和双胞胎估算的500亿增长至1300亿至1500亿左右。</w:t>
      </w:r>
    </w:p>
    <w:p>
      <w:r>
        <w:rPr>
          <w:rFonts w:ascii="等线(中文正文)" w:hAnsi="等线(中文正文)" w:cs="等线(中文正文)" w:eastAsia="等线(中文正文)"/>
          <w:b w:val="false"/>
          <w:i w:val="false"/>
          <w:sz w:val="20"/>
        </w:rPr>
        <w:t/>
      </w:r>
    </w:p>
    <w:p>
      <w:pPr>
        <w:pStyle w:val="ab"/>
      </w:pPr>
      <w:r>
        <w:t>发言人1 问：双胞胎事件的具体催化点是什么时候？</w:t>
      </w:r>
    </w:p>
    <w:p>
      <w:r>
        <w:rPr>
          <w:rFonts w:ascii="等线(中文正文)" w:hAnsi="等线(中文正文)" w:cs="等线(中文正文)" w:eastAsia="等线(中文正文)"/>
          <w:b w:val="false"/>
          <w:i w:val="false"/>
          <w:sz w:val="20"/>
        </w:rPr>
        <w:t>发言人1 答：双胞胎事件的催化点是今年12月27号之后，届时将开始注入资产，并在未来一年内完成将双胞胎资产全部注入正邦的过程。一旦注入完成，正邦在生猪和饲料领域的体量将进入行业领先位置，核心竞争力和公司治理也会显著提升。</w:t>
      </w:r>
    </w:p>
    <w:p>
      <w:r>
        <w:rPr>
          <w:rFonts w:ascii="等线(中文正文)" w:hAnsi="等线(中文正文)" w:cs="等线(中文正文)" w:eastAsia="等线(中文正文)"/>
          <w:b w:val="false"/>
          <w:i w:val="false"/>
          <w:sz w:val="20"/>
        </w:rPr>
        <w:t/>
      </w:r>
    </w:p>
    <w:p>
      <w:pPr>
        <w:pStyle w:val="ab"/>
      </w:pPr>
      <w:r>
        <w:t>发言人1 问：对于生猪板块的整体展望如何？</w:t>
      </w:r>
    </w:p>
    <w:p>
      <w:r>
        <w:rPr>
          <w:rFonts w:ascii="等线(中文正文)" w:hAnsi="等线(中文正文)" w:cs="等线(中文正文)" w:eastAsia="等线(中文正文)"/>
          <w:b w:val="false"/>
          <w:i w:val="false"/>
          <w:sz w:val="20"/>
        </w:rPr>
        <w:t>发言人1 答：生猪板块现金流状况不佳，未来成本情况不会有太大改善，猪价在十月份会有一定好转，但其他月份表现一般，且现金流状况难以支撑现有债务水平，因此行业形势将持续严峻。推荐标的中，德康有1倍空间，正邦有50%至1倍的空间，牧原有20%至50%的空间。</w:t>
      </w:r>
    </w:p>
    <w:p>
      <w:r>
        <w:rPr>
          <w:rFonts w:ascii="等线(中文正文)" w:hAnsi="等线(中文正文)" w:cs="等线(中文正文)" w:eastAsia="等线(中文正文)"/>
          <w:b w:val="false"/>
          <w:i w:val="false"/>
          <w:sz w:val="20"/>
        </w:rPr>
        <w:t/>
      </w:r>
    </w:p>
    <w:p>
      <w:pPr>
        <w:pStyle w:val="ab"/>
      </w:pPr>
      <w:r>
        <w:t>发言人1 问：AI行情是否出现趋势逆转？</w:t>
      </w:r>
    </w:p>
    <w:p>
      <w:r>
        <w:rPr>
          <w:rFonts w:ascii="等线(中文正文)" w:hAnsi="等线(中文正文)" w:cs="等线(中文正文)" w:eastAsia="等线(中文正文)"/>
          <w:b w:val="false"/>
          <w:i w:val="false"/>
          <w:sz w:val="20"/>
        </w:rPr>
        <w:t>发言人1 答：目前AI行情我们认为还是一个短期调整阶段，还未到趋势逆转级别。虽然上周五美股调整剧烈，涉及宏观流动性、降息加息预期等因素，但这些并不影响AI产业发展的本质。从长期来看，AI产品力超预期，如AI编程和AI agent带来的算力需求乐观提升，发展趋势仍在向上。</w:t>
      </w:r>
    </w:p>
    <w:p>
      <w:r>
        <w:rPr>
          <w:rFonts w:ascii="等线(中文正文)" w:hAnsi="等线(中文正文)" w:cs="等线(中文正文)" w:eastAsia="等线(中文正文)"/>
          <w:b w:val="false"/>
          <w:i w:val="false"/>
          <w:sz w:val="20"/>
        </w:rPr>
        <w:t/>
      </w:r>
    </w:p>
    <w:p>
      <w:pPr>
        <w:pStyle w:val="ab"/>
      </w:pPr>
      <w:r>
        <w:t>发言人1 问：AI领域有哪些潜在的发展趋势？</w:t>
      </w:r>
    </w:p>
    <w:p>
      <w:r>
        <w:rPr>
          <w:rFonts w:ascii="等线(中文正文)" w:hAnsi="等线(中文正文)" w:cs="等线(中文正文)" w:eastAsia="等线(中文正文)"/>
          <w:b w:val="false"/>
          <w:i w:val="false"/>
          <w:sz w:val="20"/>
        </w:rPr>
        <w:t>发言人1 答：一是AI编程和AI agent带来的产品力超预期，尤其是海外的cloud d codex等需求持续超预期，带动算力需求增长；二是多模态和物理AI成为市场关注焦点，大模型厂商都在集中精力提升多模态能力，一旦突破将极大提升算力需求；三是RSI recursive self improvement概念出现，AI能够自我生成代码、改进和迭代自身，目前已有初步成果，有望催化整个AI产业并带来深远的社会影响。</w:t>
      </w:r>
    </w:p>
    <w:p>
      <w:r>
        <w:rPr>
          <w:rFonts w:ascii="等线(中文正文)" w:hAnsi="等线(中文正文)" w:cs="等线(中文正文)" w:eastAsia="等线(中文正文)"/>
          <w:b w:val="false"/>
          <w:i w:val="false"/>
          <w:sz w:val="20"/>
        </w:rPr>
        <w:t/>
      </w:r>
    </w:p>
    <w:p>
      <w:pPr>
        <w:pStyle w:val="ab"/>
      </w:pPr>
      <w:r>
        <w:t>发言人1 问：在当前环境下，应该如何配置AI板块的投资策略？</w:t>
      </w:r>
    </w:p>
    <w:p>
      <w:r>
        <w:rPr>
          <w:rFonts w:ascii="等线(中文正文)" w:hAnsi="等线(中文正文)" w:cs="等线(中文正文)" w:eastAsia="等线(中文正文)"/>
          <w:b w:val="false"/>
          <w:i w:val="false"/>
          <w:sz w:val="20"/>
        </w:rPr>
        <w:t>发言人1 答：投资策略应聚焦核心和确定性，关注那些能顺应AI产业趋势且未来有充足催化因素的公司。从研究方向来看，核心推荐四个方向：CPU板块（聚光科技）、CPU及相关元器件（高通、ARM、英特尔、海光、中国长城、合成新材）、国产算力方向（寒武纪、生成链、海光、紫光、浪潮）以及端测AI方向（科森科技、聚光科技、高通等）。</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2026-06-07T14:59:45Z</dcterms:created>
  <dc:creator>Apache POI</dc:creator>
</cp:coreProperties>
</file>