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华金策略 - 聚焦一刻系列电话会议第134期：A股6月走势和行业方向展望 260607_导读</w:t>
      </w:r>
    </w:p>
    <w:p>
      <w:pPr>
        <w:pStyle w:val="a0"/>
        <w:jc w:val="center"/>
      </w:pPr>
      <w:r>
        <w:t>2026年06月07日 22:53</w:t>
      </w:r>
    </w:p>
    <w:p>
      <w:pPr>
        <w:pStyle w:val="a7"/>
      </w:pPr>
      <w:r>
        <w:t>关键词</w:t>
      </w:r>
    </w:p>
    <w:p>
      <w:r>
        <w:rPr>
          <w:rFonts w:ascii="等线(中文正文)" w:hAnsi="等线(中文正文)" w:cs="等线(中文正文)" w:eastAsia="等线(中文正文)"/>
          <w:b w:val="false"/>
          <w:i w:val="false"/>
          <w:sz w:val="20"/>
        </w:rPr>
        <w:t xml:space="preserve">A股 美股 科技股 流动性 通胀 非农就业 底部区域 震荡筑底 产业趋势 盈利增速 政策 估值 情绪 调整 修复 TMT 拥挤度 蓝筹行业 补涨 科技成长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策略首席分析师指出，A股虽可能受美股大幅调整情绪影响，但因已有提前调整，相对偏强，短期内预计继续震荡筑底。科技股短期内或经历调整，但长期仍是市场主线，不预期出现中期显著切换。分析认为，海外风险、美元走势及科技行业基本面是影响市场的关键因素，科技股调整更多出于情绪，调整后有望带来机会。行业配置建议聚焦于逢低布局科技硬件领域，同时考虑蓝筹股的短暂机会，整体策略应侧重科技成长股。</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A股走势与科技股后续演绎分析</w:t>
      </w:r>
    </w:p>
    <w:p>
      <w:r>
        <w:rPr>
          <w:rFonts w:ascii="等线(中文正文)" w:hAnsi="等线(中文正文)" w:cs="等线(中文正文)" w:eastAsia="等线(中文正文)"/>
          <w:b w:val="false"/>
          <w:i w:val="false"/>
          <w:sz w:val="20"/>
        </w:rPr>
        <w:t>本周聚焦A股走势及科技股后续演绎，认为美股大幅调整对A股影响偏情绪性，A股可能偏强且处于底部区域。科技成长股短期或调整，但调整后仍是主线，中期风格切换不可持续。</w:t>
      </w:r>
    </w:p>
    <w:p>
      <w:r>
        <w:rPr>
          <w:rFonts w:ascii="等线(中文正文)" w:hAnsi="等线(中文正文)" w:cs="等线(中文正文)" w:eastAsia="等线(中文正文)"/>
          <w:b w:val="false"/>
          <w:i w:val="false"/>
          <w:sz w:val="20"/>
        </w:rPr>
        <w:t/>
      </w:r>
    </w:p>
    <w:p>
      <w:pPr>
        <w:pStyle w:val="ab"/>
        <w:numPr>
          <w:numId w:val="2"/>
        </w:numPr>
      </w:pPr>
      <w:r>
        <w:t>01:37 美元强势与美国通胀预期变化分析</w:t>
      </w:r>
    </w:p>
    <w:p>
      <w:r>
        <w:rPr>
          <w:rFonts w:ascii="等线(中文正文)" w:hAnsi="等线(中文正文)" w:cs="等线(中文正文)" w:eastAsia="等线(中文正文)"/>
          <w:b w:val="false"/>
          <w:i w:val="false"/>
          <w:sz w:val="20"/>
        </w:rPr>
        <w:t>讨论了美元强势对全球市场的影响，指出短期流动性收缩预期难持续。分析了特朗普对美伊表态、美元上涨与原油价格波动的关系，认为美元强势不可持续。预计美国五月份通胀数据可能回落，市场需关注此时间点。</w:t>
      </w:r>
    </w:p>
    <w:p>
      <w:r>
        <w:rPr>
          <w:rFonts w:ascii="等线(中文正文)" w:hAnsi="等线(中文正文)" w:cs="等线(中文正文)" w:eastAsia="等线(中文正文)"/>
          <w:b w:val="false"/>
          <w:i w:val="false"/>
          <w:sz w:val="20"/>
        </w:rPr>
        <w:t/>
      </w:r>
    </w:p>
    <w:p>
      <w:pPr>
        <w:pStyle w:val="ab"/>
        <w:numPr>
          <w:numId w:val="3"/>
        </w:numPr>
      </w:pPr>
      <w:r>
        <w:t>04:50 美国非农就业数据表面强劲实则结构疲弱</w:t>
      </w:r>
    </w:p>
    <w:p>
      <w:r>
        <w:rPr>
          <w:rFonts w:ascii="等线(中文正文)" w:hAnsi="等线(中文正文)" w:cs="等线(中文正文)" w:eastAsia="等线(中文正文)"/>
          <w:b w:val="false"/>
          <w:i w:val="false"/>
          <w:sz w:val="20"/>
        </w:rPr>
        <w:t>五月美国非农就业数据看似强劲，但深入分析发现薪资增速回落至新低，劳动参与率创新低，且新增就业集中在受世界杯影响的行业，可能是一过性现象。政府官员表态支持降息，美联储新主席可能加强预期管理，市场对加息预期或将修正。</w:t>
      </w:r>
    </w:p>
    <w:p>
      <w:r>
        <w:rPr>
          <w:rFonts w:ascii="等线(中文正文)" w:hAnsi="等线(中文正文)" w:cs="等线(中文正文)" w:eastAsia="等线(中文正文)"/>
          <w:b w:val="false"/>
          <w:i w:val="false"/>
          <w:sz w:val="20"/>
        </w:rPr>
        <w:t/>
      </w:r>
    </w:p>
    <w:p>
      <w:pPr>
        <w:pStyle w:val="ab"/>
        <w:numPr>
          <w:numId w:val="4"/>
        </w:numPr>
      </w:pPr>
      <w:r>
        <w:t>09:33 美股科技股基本面强劲，市场情绪波动或促修复</w:t>
      </w:r>
    </w:p>
    <w:p>
      <w:r>
        <w:rPr>
          <w:rFonts w:ascii="等线(中文正文)" w:hAnsi="等线(中文正文)" w:cs="等线(中文正文)" w:eastAsia="等线(中文正文)"/>
          <w:b w:val="false"/>
          <w:i w:val="false"/>
          <w:sz w:val="20"/>
        </w:rPr>
        <w:t>讨论了美股科技股在短期市场情绪受压后的潜在修复机会，强调科技行业基本面强劲，营收和资本开支增长趋势未变，政府支持减少融资担忧，认为宏观情绪波动可能促成科技股调整后的上行，牛市未结束。</w:t>
      </w:r>
    </w:p>
    <w:p>
      <w:r>
        <w:rPr>
          <w:rFonts w:ascii="等线(中文正文)" w:hAnsi="等线(中文正文)" w:cs="等线(中文正文)" w:eastAsia="等线(中文正文)"/>
          <w:b w:val="false"/>
          <w:i w:val="false"/>
          <w:sz w:val="20"/>
        </w:rPr>
        <w:t/>
      </w:r>
    </w:p>
    <w:p>
      <w:pPr>
        <w:pStyle w:val="ab"/>
        <w:numPr>
          <w:numId w:val="5"/>
        </w:numPr>
      </w:pPr>
      <w:r>
        <w:t>11:44 A股短期走势分析：震荡筑底与基本面支撑</w:t>
      </w:r>
    </w:p>
    <w:p>
      <w:r>
        <w:rPr>
          <w:rFonts w:ascii="等线(中文正文)" w:hAnsi="等线(中文正文)" w:cs="等线(中文正文)" w:eastAsia="等线(中文正文)"/>
          <w:b w:val="false"/>
          <w:i w:val="false"/>
          <w:sz w:val="20"/>
        </w:rPr>
        <w:t>对话内容主要围绕A股短期走势展开，指出A股可能继续震荡筑底，但相对偏强。支撑这一判断的两个关键因素是：一是国内经济和盈利延续结构性回升趋势，特别是出口和制造业投资增速较高，科技和周期行业盈利增长趋势不变；二是A股已提前调整，从5月14日以来上证综指和创业板指均出现下跌，行业方面除通信和电子外多数下跌，融资增加放缓显示情绪提前释放。基于以上分析，预计A股短期可能比美股更强，海外因素影响有限。</w:t>
      </w:r>
    </w:p>
    <w:p>
      <w:r>
        <w:rPr>
          <w:rFonts w:ascii="等线(中文正文)" w:hAnsi="等线(中文正文)" w:cs="等线(中文正文)" w:eastAsia="等线(中文正文)"/>
          <w:b w:val="false"/>
          <w:i w:val="false"/>
          <w:sz w:val="20"/>
        </w:rPr>
        <w:t/>
      </w:r>
    </w:p>
    <w:p>
      <w:pPr>
        <w:pStyle w:val="ab"/>
        <w:numPr>
          <w:numId w:val="6"/>
        </w:numPr>
      </w:pPr>
      <w:r>
        <w:t>14:05 科技成长行业拥挤度与市场切换分析</w:t>
      </w:r>
    </w:p>
    <w:p>
      <w:r>
        <w:rPr>
          <w:rFonts w:ascii="等线(中文正文)" w:hAnsi="等线(中文正文)" w:cs="等线(中文正文)" w:eastAsia="等线(中文正文)"/>
          <w:b w:val="false"/>
          <w:i w:val="false"/>
          <w:sz w:val="20"/>
        </w:rPr>
        <w:t>对话探讨了科技成长行业在成交额占比达到95%以上拥挤度后的市场表现，指出六次中五次科技行业出现回调，四次蓝筹行业补涨，主要受产业趋势边际走弱、盈利增速回落等因素影响。建议投资者在科技行业出现明显调整后逢低布局，而非短暂切换至其他行业。</w:t>
      </w:r>
    </w:p>
    <w:p>
      <w:r>
        <w:rPr>
          <w:rFonts w:ascii="等线(中文正文)" w:hAnsi="等线(中文正文)" w:cs="等线(中文正文)" w:eastAsia="等线(中文正文)"/>
          <w:b w:val="false"/>
          <w:i w:val="false"/>
          <w:sz w:val="20"/>
        </w:rPr>
        <w:t/>
      </w:r>
    </w:p>
    <w:p>
      <w:pPr>
        <w:pStyle w:val="ab"/>
        <w:numPr>
          <w:numId w:val="7"/>
        </w:numPr>
      </w:pPr>
      <w:r>
        <w:t>18:00 科技成长与蓝筹补涨条件分析</w:t>
      </w:r>
    </w:p>
    <w:p>
      <w:r>
        <w:rPr>
          <w:rFonts w:ascii="等线(中文正文)" w:hAnsi="等线(中文正文)" w:cs="等线(中文正文)" w:eastAsia="等线(中文正文)"/>
          <w:b w:val="false"/>
          <w:i w:val="false"/>
          <w:sz w:val="20"/>
        </w:rPr>
        <w:t>对话探讨了科技成长受负面政策影响的回落机制，以及蓝筹补涨所需的严格条件，包括基本面回升等。当前科技产业趋势未见走弱，AI硬件、机器人应用、国产半导体扩产及AI数据中心供电持续向好。而蓝筹如消费、煤炭等基本面改善有限，缺乏社融增速回升和消费低迷背景下的宏观环境支持，科技切换至低估值蓝筹难度大。</w:t>
      </w:r>
    </w:p>
    <w:p>
      <w:r>
        <w:rPr>
          <w:rFonts w:ascii="等线(中文正文)" w:hAnsi="等线(中文正文)" w:cs="等线(中文正文)" w:eastAsia="等线(中文正文)"/>
          <w:b w:val="false"/>
          <w:i w:val="false"/>
          <w:sz w:val="20"/>
        </w:rPr>
        <w:t/>
      </w:r>
    </w:p>
    <w:p>
      <w:pPr>
        <w:pStyle w:val="ab"/>
        <w:numPr>
          <w:numId w:val="8"/>
        </w:numPr>
      </w:pPr>
      <w:r>
        <w:t>21:45 科技硬件行业内部可能出现短暂高低切换</w:t>
      </w:r>
    </w:p>
    <w:p>
      <w:r>
        <w:rPr>
          <w:rFonts w:ascii="等线(中文正文)" w:hAnsi="等线(中文正文)" w:cs="等线(中文正文)" w:eastAsia="等线(中文正文)"/>
          <w:b w:val="false"/>
          <w:i w:val="false"/>
          <w:sz w:val="20"/>
        </w:rPr>
        <w:t>讨论了科技硬件行业内部可能出现的短暂高低切换现象，强调了硬件产业趋势的强劲，包括存储价格上涨、AI硬件景气度上行等。同时，指出AI应用落地较慢，硬科技公司盈利优势明显，以及估值和资金流动可能引发的短暂切换。建议短期配置景气度持续向上的科技硬件，尤其是调整后估值性价比高的龙头公司，同时关注低估值蓝筹作为均衡配置的第二选择。</w:t>
      </w:r>
    </w:p>
    <w:p>
      <w:r>
        <w:rPr>
          <w:rFonts w:ascii="等线(中文正文)" w:hAnsi="等线(中文正文)" w:cs="等线(中文正文)" w:eastAsia="等线(中文正文)"/>
          <w:b w:val="false"/>
          <w:i w:val="false"/>
          <w:sz w:val="20"/>
        </w:rPr>
        <w:t/>
      </w:r>
    </w:p>
    <w:p>
      <w:pPr>
        <w:pStyle w:val="a7"/>
      </w:pPr>
      <w:r>
        <w:t>发言总结</w:t>
      </w:r>
    </w:p>
    <w:p>
      <w:pPr>
        <w:pStyle w:val="ab"/>
        <w:numPr>
          <w:numId w:val="9"/>
        </w:numPr>
      </w:pPr>
      <w:r>
        <w:t>发言人1</w:t>
      </w:r>
    </w:p>
    <w:p>
      <w:r>
        <w:rPr>
          <w:rFonts w:ascii="等线(中文正文)" w:hAnsi="等线(中文正文)" w:cs="等线(中文正文)" w:eastAsia="等线(中文正文)"/>
          <w:b w:val="false"/>
          <w:i w:val="false"/>
          <w:sz w:val="20"/>
        </w:rPr>
        <w:t>他，华平证券研究所策略首席分析师邓文军，在电话会议中分析了A股走势和科技股的后续发展。他认为，美股科技股的大幅调整对A股的影响主要体现在情绪层面，但因A股已先行调整，预计A股表现将相对偏强。短期内科技股可能经历调整，但从中长期看，科技股仍将是增长的主要驱动力，强调风格切换不可持续。邓文军还分析了海外风险、美国经济及就业数据，指出科技股基本面强劲，预示着美股科技股调整后仍有上行空间。最后，他建议A股短期将震荡筑底，看好科技硬件及行业高低切方向作为投资配置建议。</w:t>
      </w:r>
    </w:p>
    <w:p>
      <w:r>
        <w:rPr>
          <w:rFonts w:ascii="等线(中文正文)" w:hAnsi="等线(中文正文)" w:cs="等线(中文正文)" w:eastAsia="等线(中文正文)"/>
          <w:b w:val="false"/>
          <w:i w:val="false"/>
          <w:sz w:val="20"/>
        </w:rPr>
        <w:t/>
      </w:r>
    </w:p>
    <w:p>
      <w:pPr>
        <w:pStyle w:val="a7"/>
      </w:pPr>
      <w:r>
        <w:t>要点回顾</w:t>
      </w:r>
    </w:p>
    <w:p>
      <w:pPr>
        <w:pStyle w:val="ab"/>
      </w:pPr>
      <w:r>
        <w:t>本周美股大幅调整，尤其是科技股明显下行，这会对A股产生什么样的影响？是否会引发科技股的中期切换？</w:t>
      </w:r>
    </w:p>
    <w:p>
      <w:r>
        <w:rPr>
          <w:rFonts w:ascii="等线(中文正文)" w:hAnsi="等线(中文正文)" w:cs="等线(中文正文)" w:eastAsia="等线(中文正文)"/>
          <w:b w:val="false"/>
          <w:i w:val="false"/>
          <w:sz w:val="20"/>
        </w:rPr>
        <w:t>发言人1：我们认为美股下跌对A股的影响可能更多是情绪层面的。A股在之前已经提前调整，相对美股可能偏强。短期内，A股大概率会处于底部区域，呈现震荡筑底走势。对于科技股，短期可能会有一定程度的调整，但不会出现明显的中期切换。科技成长股在调整后依然是主线，短暂的风格切换不可持续。</w:t>
      </w:r>
    </w:p>
    <w:p>
      <w:r>
        <w:rPr>
          <w:rFonts w:ascii="等线(中文正文)" w:hAnsi="等线(中文正文)" w:cs="等线(中文正文)" w:eastAsia="等线(中文正文)"/>
          <w:b w:val="false"/>
          <w:i w:val="false"/>
          <w:sz w:val="20"/>
        </w:rPr>
        <w:t/>
      </w:r>
    </w:p>
    <w:p>
      <w:pPr>
        <w:pStyle w:val="ab"/>
      </w:pPr>
      <w:r>
        <w:t>您预判海外风险对A股的影响逻辑是怎样的？</w:t>
      </w:r>
    </w:p>
    <w:p>
      <w:r>
        <w:rPr>
          <w:rFonts w:ascii="等线(中文正文)" w:hAnsi="等线(中文正文)" w:cs="等线(中文正文)" w:eastAsia="等线(中文正文)"/>
          <w:b w:val="false"/>
          <w:i w:val="false"/>
          <w:sz w:val="20"/>
        </w:rPr>
        <w:t>发言人1：我们预判海外风险相对有限。尽管周五市场出现明显变化，流动性预期有所调整，但我们认为短期市场情绪受压后可能会有所修复。例如，特朗普对美伊局势的表态有利于美国通胀缓解，若达成协议叠加美元走强，将对原油价格产生压制，而美元的强势难以持续，进而影响到通胀预期。</w:t>
      </w:r>
    </w:p>
    <w:p>
      <w:r>
        <w:rPr>
          <w:rFonts w:ascii="等线(中文正文)" w:hAnsi="等线(中文正文)" w:cs="等线(中文正文)" w:eastAsia="等线(中文正文)"/>
          <w:b w:val="false"/>
          <w:i w:val="false"/>
          <w:sz w:val="20"/>
        </w:rPr>
        <w:t/>
      </w:r>
    </w:p>
    <w:p>
      <w:pPr>
        <w:pStyle w:val="ab"/>
      </w:pPr>
      <w:r>
        <w:t>关于美国通胀和就业数据的变化，它们对市场有何影响？</w:t>
      </w:r>
    </w:p>
    <w:p>
      <w:r>
        <w:rPr>
          <w:rFonts w:ascii="等线(中文正文)" w:hAnsi="等线(中文正文)" w:cs="等线(中文正文)" w:eastAsia="等线(中文正文)"/>
          <w:b w:val="false"/>
          <w:i w:val="false"/>
          <w:sz w:val="20"/>
        </w:rPr>
        <w:t>发言人1：美国五月份的通胀数据可能面临回落，这可能超预期，因为原油价格已走弱。此外，尽管五月份新增非农就业人数远超市场预期，达到17.2万，且四月数据也大幅上修，但深入分析结构后发现，时薪同比增速和劳动参与率等关键数据并不乐观，均处于低位或新低。结构性数据显示，部分行业的就业增长可能具有暂时性，比如休闲和旅游酒店业的就业增加与世界杯等事件相关，而非持续性好于预期的就业改善。</w:t>
      </w:r>
    </w:p>
    <w:p>
      <w:r>
        <w:rPr>
          <w:rFonts w:ascii="等线(中文正文)" w:hAnsi="等线(中文正文)" w:cs="等线(中文正文)" w:eastAsia="等线(中文正文)"/>
          <w:b w:val="false"/>
          <w:i w:val="false"/>
          <w:sz w:val="20"/>
        </w:rPr>
        <w:t/>
      </w:r>
    </w:p>
    <w:p>
      <w:pPr>
        <w:pStyle w:val="ab"/>
      </w:pPr>
      <w:r>
        <w:t>四月和5月美国非农就业超预期增加的原因是什么？是否可持续？</w:t>
      </w:r>
    </w:p>
    <w:p>
      <w:r>
        <w:rPr>
          <w:rFonts w:ascii="等线(中文正文)" w:hAnsi="等线(中文正文)" w:cs="等线(中文正文)" w:eastAsia="等线(中文正文)"/>
          <w:b w:val="false"/>
          <w:i w:val="false"/>
          <w:sz w:val="20"/>
        </w:rPr>
        <w:t>发言人1：我们认为非农就业的超预期增加可能与世界杯因素有关，是一次性的。从总量和结构上看，美国非农就业并不强劲，且流动性已明显受到重大影响。周五市场可能仅关注表面数据，对结构分析不足。此外，政府态度也对市场有重大影响，比如美国政府官员表示美联储应降息而非加息，这可能导致市场预期发生修正，认为当前美联储加息预期可能已到达高点。</w:t>
      </w:r>
    </w:p>
    <w:p>
      <w:r>
        <w:rPr>
          <w:rFonts w:ascii="等线(中文正文)" w:hAnsi="等线(中文正文)" w:cs="等线(中文正文)" w:eastAsia="等线(中文正文)"/>
          <w:b w:val="false"/>
          <w:i w:val="false"/>
          <w:sz w:val="20"/>
        </w:rPr>
        <w:t/>
      </w:r>
    </w:p>
    <w:p>
      <w:pPr>
        <w:pStyle w:val="ab"/>
      </w:pPr>
      <w:r>
        <w:t>科技股基本面情况如何？政府支持和融资压力方面有何看法？</w:t>
      </w:r>
    </w:p>
    <w:p>
      <w:r>
        <w:rPr>
          <w:rFonts w:ascii="等线(中文正文)" w:hAnsi="等线(中文正文)" w:cs="等线(中文正文)" w:eastAsia="等线(中文正文)"/>
          <w:b w:val="false"/>
          <w:i w:val="false"/>
          <w:sz w:val="20"/>
        </w:rPr>
        <w:t>发言人1：科技股基本面强劲。虽然有个别公司如博通股价下跌，但整个科技行业的营收和资本开支增长趋势并未出现拐点。美国政府考虑让人工智能企业将股份转让给政府，意味着政府支持下，科技龙头企业的融资无需过分担忧。</w:t>
      </w:r>
    </w:p>
    <w:p>
      <w:r>
        <w:rPr>
          <w:rFonts w:ascii="等线(中文正文)" w:hAnsi="等线(中文正文)" w:cs="等线(中文正文)" w:eastAsia="等线(中文正文)"/>
          <w:b w:val="false"/>
          <w:i w:val="false"/>
          <w:sz w:val="20"/>
        </w:rPr>
        <w:t/>
      </w:r>
    </w:p>
    <w:p>
      <w:pPr>
        <w:pStyle w:val="ab"/>
      </w:pPr>
      <w:r>
        <w:t>A股市场短期走势如何？</w:t>
      </w:r>
    </w:p>
    <w:p>
      <w:r>
        <w:rPr>
          <w:rFonts w:ascii="等线(中文正文)" w:hAnsi="等线(中文正文)" w:cs="等线(中文正文)" w:eastAsia="等线(中文正文)"/>
          <w:b w:val="false"/>
          <w:i w:val="false"/>
          <w:sz w:val="20"/>
        </w:rPr>
        <w:t>发言人1：短期A股将继续震荡筑底，并可能相对偏强。主要原因有两个：一是国内经济和盈利回升趋势延续，出口增速较高，制造业投资增速也较快；二是前期A股已出现较大调整，提前释放风险，并且在基本面支撑下，面临底部震荡筑底过程。</w:t>
      </w:r>
    </w:p>
    <w:p>
      <w:r>
        <w:rPr>
          <w:rFonts w:ascii="等线(中文正文)" w:hAnsi="等线(中文正文)" w:cs="等线(中文正文)" w:eastAsia="等线(中文正文)"/>
          <w:b w:val="false"/>
          <w:i w:val="false"/>
          <w:sz w:val="20"/>
        </w:rPr>
        <w:t/>
      </w:r>
    </w:p>
    <w:p>
      <w:pPr>
        <w:pStyle w:val="ab"/>
      </w:pPr>
      <w:r>
        <w:t>科技成长板块是否会经历中期切换？</w:t>
      </w:r>
    </w:p>
    <w:p>
      <w:r>
        <w:rPr>
          <w:rFonts w:ascii="等线(中文正文)" w:hAnsi="等线(中文正文)" w:cs="等线(中文正文)" w:eastAsia="等线(中文正文)"/>
          <w:b w:val="false"/>
          <w:i w:val="false"/>
          <w:sz w:val="20"/>
        </w:rPr>
        <w:t>发言人1：科技成长板块拥挤度过高后，可能会出现短期或中长期的切换。如果仅是短期切换，建议等待产业趋势或景气度最好的硬件类公司出现明显调整时再逢低布局。历史上当TMT成交额占比达到95%以上时，通常一个月内会发生高低切或内部切换，其中涉及产业趋势、盈利政策、估值情绪等因素的影响。</w:t>
      </w:r>
    </w:p>
    <w:p>
      <w:r>
        <w:rPr>
          <w:rFonts w:ascii="等线(中文正文)" w:hAnsi="等线(中文正文)" w:cs="等线(中文正文)" w:eastAsia="等线(中文正文)"/>
          <w:b w:val="false"/>
          <w:i w:val="false"/>
          <w:sz w:val="20"/>
        </w:rPr>
        <w:t/>
      </w:r>
    </w:p>
    <w:p>
      <w:pPr>
        <w:pStyle w:val="ab"/>
      </w:pPr>
      <w:r>
        <w:t>科技走弱的主要原因有哪些？当前科技产业趋势是否走弱？</w:t>
      </w:r>
    </w:p>
    <w:p>
      <w:r>
        <w:rPr>
          <w:rFonts w:ascii="等线(中文正文)" w:hAnsi="等线(中文正文)" w:cs="等线(中文正文)" w:eastAsia="等线(中文正文)"/>
          <w:b w:val="false"/>
          <w:i w:val="false"/>
          <w:sz w:val="20"/>
        </w:rPr>
        <w:t>发言人1：科技走弱的主要原因包括：产业趋势边际变化，例如消费电子、计算机和传媒等行业受到大模型进展、商业化落地速度及机器人量产进度等因素影响而走弱；负面政策或外部事件，如出口管制导致的电子行业调整，以及美国对关键制造软件实施出口管制带来的计算机行业调整；涨幅过高和情绪过高的共性因素，当市场情绪过高时，科技成长会出现调整。当前科技产业趋势并没有走弱的迹象，至少有四个方面的产业趋势持续向好，包括AI硬件、机器人AI应用相关场景、国产半导体先进制程扩产带来的相关产业趋势上升，以及AI需求驱动的数据中心供电产业景气度保持高位。</w:t>
      </w:r>
    </w:p>
    <w:p>
      <w:r>
        <w:rPr>
          <w:rFonts w:ascii="等线(中文正文)" w:hAnsi="等线(中文正文)" w:cs="等线(中文正文)" w:eastAsia="等线(中文正文)"/>
          <w:b w:val="false"/>
          <w:i w:val="false"/>
          <w:sz w:val="20"/>
        </w:rPr>
        <w:t/>
      </w:r>
    </w:p>
    <w:p>
      <w:pPr>
        <w:pStyle w:val="ab"/>
      </w:pPr>
      <w:r>
        <w:t>蓝筹板块是否具备基本面改善以支持科技风格转换的条件？</w:t>
      </w:r>
    </w:p>
    <w:p>
      <w:r>
        <w:rPr>
          <w:rFonts w:ascii="等线(中文正文)" w:hAnsi="等线(中文正文)" w:cs="等线(中文正文)" w:eastAsia="等线(中文正文)"/>
          <w:b w:val="false"/>
          <w:i w:val="false"/>
          <w:sz w:val="20"/>
        </w:rPr>
        <w:t>发言人1：目前看来，蓝筹板块基本面改善的条件并不满足。消费并未出现大幅改善，社融增速仍在下行，且部分涨价品种如煤炭相较于历史上的经济修复时期，在宏观环境上并不具备明显优势。因此，将科技切换至银行、煤炭等低估值蓝筹行业的难度较大。</w:t>
      </w:r>
    </w:p>
    <w:p>
      <w:r>
        <w:rPr>
          <w:rFonts w:ascii="等线(中文正文)" w:hAnsi="等线(中文正文)" w:cs="等线(中文正文)" w:eastAsia="等线(中文正文)"/>
          <w:b w:val="false"/>
          <w:i w:val="false"/>
          <w:sz w:val="20"/>
        </w:rPr>
        <w:t/>
      </w:r>
    </w:p>
    <w:p>
      <w:pPr>
        <w:pStyle w:val="ab"/>
      </w:pPr>
      <w:r>
        <w:t>是否存在内部高低切换的可能性？</w:t>
      </w:r>
    </w:p>
    <w:p>
      <w:r>
        <w:rPr>
          <w:rFonts w:ascii="等线(中文正文)" w:hAnsi="等线(中文正文)" w:cs="等线(中文正文)" w:eastAsia="等线(中文正文)"/>
          <w:b w:val="false"/>
          <w:i w:val="false"/>
          <w:sz w:val="20"/>
        </w:rPr>
        <w:t>发言人1：内部高低切换的可能性存在，但可能是短暂的。从产业趋势角度看，硬件相对于应用具有更强的景气度。从盈利角度，硬科技公司的短期盈利优于软件和应用类公司。估值、情绪和资金情况可能成为导致短暂切换的核心条件，但目前这些条件尚不具备，预判这种切换难以持久。</w:t>
      </w:r>
    </w:p>
    <w:p>
      <w:r>
        <w:rPr>
          <w:rFonts w:ascii="等线(中文正文)" w:hAnsi="等线(中文正文)" w:cs="等线(中文正文)" w:eastAsia="等线(中文正文)"/>
          <w:b w:val="false"/>
          <w:i w:val="false"/>
          <w:sz w:val="20"/>
        </w:rPr>
        <w:t/>
      </w:r>
    </w:p>
    <w:p>
      <w:pPr>
        <w:pStyle w:val="ab"/>
      </w:pPr>
      <w:r>
        <w:t>对于行业配置的看法是什么？</w:t>
      </w:r>
    </w:p>
    <w:p>
      <w:r>
        <w:rPr>
          <w:rFonts w:ascii="等线(中文正文)" w:hAnsi="等线(中文正文)" w:cs="等线(中文正文)" w:eastAsia="等线(中文正文)"/>
          <w:b w:val="false"/>
          <w:i w:val="false"/>
          <w:sz w:val="20"/>
        </w:rPr>
        <w:t>发言人1：短期建议逢低配置景气度或产业趋势持续向上的科技硬件，尤其是半导体AI硬件和通信领域的AI硬件。同时，也可以关注电梯专业航天、AI应用、机器人创新等领域的高低切方向。此外，对于大金融、消费、煤炭这类低估值蓝筹股，虽有可能出现短暂的高低切换，但配置上应作为均衡配置的第二选择。</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2026-06-07T14:59:35Z</dcterms:created>
  <dc:creator>Apache POI</dc:creator>
</cp:coreProperties>
</file>