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3君晟-华源-能源安全 260606_导读</w:t>
      </w:r>
    </w:p>
    <w:p>
      <w:pPr>
        <w:pStyle w:val="a0"/>
        <w:jc w:val="center"/>
      </w:pPr>
      <w:r>
        <w:t>2026年06月07日 11:22</w:t>
      </w:r>
    </w:p>
    <w:p>
      <w:pPr>
        <w:pStyle w:val="a7"/>
      </w:pPr>
      <w:r>
        <w:t>关键词</w:t>
      </w:r>
    </w:p>
    <w:p>
      <w:r>
        <w:rPr>
          <w:rFonts w:ascii="等线(中文正文)" w:hAnsi="等线(中文正文)" w:cs="等线(中文正文)" w:eastAsia="等线(中文正文)"/>
          <w:b w:val="false"/>
          <w:i w:val="false"/>
          <w:sz w:val="20"/>
        </w:rPr>
        <w:t xml:space="preserve">能源安全 煤炭 电力 新能源 氢能 美国 中国 能源消费 电价 天然气 石油 电网 算力 煤炭价格 电力系统 化石能源 投资 厄尔尼诺 科技资金 科技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探讨了能源与科技领域的多个关键议题。讨论首先聚焦于新能源与传统能源的发展，强调了能源安全在中美贸易中的重要性，以及能源价格和供应的竞争格局。随后，话题转向人工智能与电力需求的关系，美国在能源市场的优势地位，以及全球能源转型的挑战与机遇，特别指出煤炭价格波动对电力行业的影响和可再生能源的进展。对话还评估了特定公司和技术，如生物质能转换和风电齿轮箱，凸显技术创新对能源转型的驱动作用。最后，提供了关于股票投资的见解，强调了在能源和技术革新中寻找长期增长机会的重要性。整体而言，对话内容凸显了能源安全、技术创新和投资策略在当前及未来能源格局中的核心地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能源安全与电力转型：中国与美国的对比分析</w:t>
      </w:r>
    </w:p>
    <w:p>
      <w:r>
        <w:rPr>
          <w:rFonts w:ascii="等线(中文正文)" w:hAnsi="等线(中文正文)" w:cs="等线(中文正文)" w:eastAsia="等线(中文正文)"/>
          <w:b w:val="false"/>
          <w:i w:val="false"/>
          <w:sz w:val="20"/>
        </w:rPr>
        <w:t>讨论了能源安全的核心在于能源价格与供应稳定性，指出中国与美国在能源领域的差异，特别是电力生产与基础设施建设速度上的不同。强调了化石能源分布集中带来的全球能源安全问题，并指出中国能源战略依托煤炭向电力转型的优势。最后，提及电力设备出口对煤炭行业的影响。</w:t>
      </w:r>
    </w:p>
    <w:p>
      <w:r>
        <w:rPr>
          <w:rFonts w:ascii="等线(中文正文)" w:hAnsi="等线(中文正文)" w:cs="等线(中文正文)" w:eastAsia="等线(中文正文)"/>
          <w:b w:val="false"/>
          <w:i w:val="false"/>
          <w:sz w:val="20"/>
        </w:rPr>
        <w:t/>
      </w:r>
    </w:p>
    <w:p>
      <w:pPr>
        <w:pStyle w:val="ab"/>
        <w:numPr>
          <w:numId w:val="2"/>
        </w:numPr>
      </w:pPr>
      <w:r>
        <w:t>04:08 煤炭与氢能产业链的未来展望</w:t>
      </w:r>
    </w:p>
    <w:p>
      <w:r>
        <w:rPr>
          <w:rFonts w:ascii="等线(中文正文)" w:hAnsi="等线(中文正文)" w:cs="等线(中文正文)" w:eastAsia="等线(中文正文)"/>
          <w:b w:val="false"/>
          <w:i w:val="false"/>
          <w:sz w:val="20"/>
        </w:rPr>
        <w:t>对话深入探讨了煤炭在当前能源结构中的重要性，以及氢能产业链，特别是氢氨醇领域的未来发展潜力。指出中国能源消费中电力占比仅为35%，新能源在电力系统中的渗透率低至20%，风电光伏在全球能源消费中占比仅6%。强调了将电力转化为其他能源形式，如氢能和甲醇，对于解决能源瓶颈的重要性。当前看好煤炭板块，尤其是价格系统性抬升的趋势，同时认为氢能产业链是未来发展的关键方向。</w:t>
      </w:r>
    </w:p>
    <w:p>
      <w:r>
        <w:rPr>
          <w:rFonts w:ascii="等线(中文正文)" w:hAnsi="等线(中文正文)" w:cs="等线(中文正文)" w:eastAsia="等线(中文正文)"/>
          <w:b w:val="false"/>
          <w:i w:val="false"/>
          <w:sz w:val="20"/>
        </w:rPr>
        <w:t/>
      </w:r>
    </w:p>
    <w:p>
      <w:pPr>
        <w:pStyle w:val="ab"/>
        <w:numPr>
          <w:numId w:val="3"/>
        </w:numPr>
      </w:pPr>
      <w:r>
        <w:t>06:48 煤炭供需紧张与电厂库存下降分析</w:t>
      </w:r>
    </w:p>
    <w:p>
      <w:r>
        <w:rPr>
          <w:rFonts w:ascii="等线(中文正文)" w:hAnsi="等线(中文正文)" w:cs="等线(中文正文)" w:eastAsia="等线(中文正文)"/>
          <w:b w:val="false"/>
          <w:i w:val="false"/>
          <w:sz w:val="20"/>
        </w:rPr>
        <w:t>今年煤炭供需矛盾突出，需求远超往年同期，电厂库存偏低，加之煤价反弹与上网电价下调，导致电厂采购积极性不高。进入旺季前，库存日耗快速上升，可用天数下降，迫使电厂为完成政治任务和保障安全而加大煤炭采购，煤炭价格持续上涨，预计煤炭企业二季度及三季度业绩将表现良好。</w:t>
      </w:r>
    </w:p>
    <w:p>
      <w:r>
        <w:rPr>
          <w:rFonts w:ascii="等线(中文正文)" w:hAnsi="等线(中文正文)" w:cs="等线(中文正文)" w:eastAsia="等线(中文正文)"/>
          <w:b w:val="false"/>
          <w:i w:val="false"/>
          <w:sz w:val="20"/>
        </w:rPr>
        <w:t/>
      </w:r>
    </w:p>
    <w:p>
      <w:pPr>
        <w:pStyle w:val="ab"/>
        <w:numPr>
          <w:numId w:val="4"/>
        </w:numPr>
      </w:pPr>
      <w:r>
        <w:t>08:23 厄尔尼诺影响下的能源供需分析</w:t>
      </w:r>
    </w:p>
    <w:p>
      <w:r>
        <w:rPr>
          <w:rFonts w:ascii="等线(中文正文)" w:hAnsi="等线(中文正文)" w:cs="等线(中文正文)" w:eastAsia="等线(中文正文)"/>
          <w:b w:val="false"/>
          <w:i w:val="false"/>
          <w:sz w:val="20"/>
        </w:rPr>
        <w:t>对话讨论了今年偏强的厄尔尼诺现象对能源供需的影响，预测夏季最大负荷可能比往年高6%至7%，并回顾了21年和22年因缺电导致的最大负荷增长情况。同时，分析了煤炭行业面临的挑战，包括产能限制、矿难后的安监加强及政府保供政策的调整，预计未来可能有长期影响。</w:t>
      </w:r>
    </w:p>
    <w:p>
      <w:r>
        <w:rPr>
          <w:rFonts w:ascii="等线(中文正文)" w:hAnsi="等线(中文正文)" w:cs="等线(中文正文)" w:eastAsia="等线(中文正文)"/>
          <w:b w:val="false"/>
          <w:i w:val="false"/>
          <w:sz w:val="20"/>
        </w:rPr>
        <w:t/>
      </w:r>
    </w:p>
    <w:p>
      <w:pPr>
        <w:pStyle w:val="ab"/>
        <w:numPr>
          <w:numId w:val="5"/>
        </w:numPr>
      </w:pPr>
      <w:r>
        <w:t>11:24 煤炭投资行情分析与市场动态</w:t>
      </w:r>
    </w:p>
    <w:p>
      <w:r>
        <w:rPr>
          <w:rFonts w:ascii="等线(中文正文)" w:hAnsi="等线(中文正文)" w:cs="等线(中文正文)" w:eastAsia="等线(中文正文)"/>
          <w:b w:val="false"/>
          <w:i w:val="false"/>
          <w:sz w:val="20"/>
        </w:rPr>
        <w:t>对话深入探讨了煤炭投资的当前行情，指出尽管部分煤炭股票估值偏高，但投资者仍持观望态度，视其为科技股的对冲或避险工具。市场资金溢出和现货价格持续上涨是推动煤炭板块表现的关键因素。此外，政府对煤炭价格的容忍度和市场情绪波动也影响着煤炭股的表现。投资者应关注趋势而非过分纠结估值，同时注意到不同资金流向对个股的影响。</w:t>
      </w:r>
    </w:p>
    <w:p>
      <w:r>
        <w:rPr>
          <w:rFonts w:ascii="等线(中文正文)" w:hAnsi="等线(中文正文)" w:cs="等线(中文正文)" w:eastAsia="等线(中文正文)"/>
          <w:b w:val="false"/>
          <w:i w:val="false"/>
          <w:sz w:val="20"/>
        </w:rPr>
        <w:t/>
      </w:r>
    </w:p>
    <w:p>
      <w:pPr>
        <w:pStyle w:val="ab"/>
        <w:numPr>
          <w:numId w:val="6"/>
        </w:numPr>
      </w:pPr>
      <w:r>
        <w:t>14:21 电力与煤炭行业投资逻辑探讨</w:t>
      </w:r>
    </w:p>
    <w:p>
      <w:r>
        <w:rPr>
          <w:rFonts w:ascii="等线(中文正文)" w:hAnsi="等线(中文正文)" w:cs="等线(中文正文)" w:eastAsia="等线(中文正文)"/>
          <w:b w:val="false"/>
          <w:i w:val="false"/>
          <w:sz w:val="20"/>
        </w:rPr>
        <w:t>对话围绕电力与煤炭行业的投资逻辑展开，指出电力股在煤炭价格上涨背景下可能面临利润下滑的风险，强调煤炭比电力更具投资价值。提及电力ETF构成中缺乏火力发电企业，推荐关注长三角、珠三角、京津冀区域的电力股票。最后，讨论了电力大数据表现差及市场热点股票的炒作现象。</w:t>
      </w:r>
    </w:p>
    <w:p>
      <w:r>
        <w:rPr>
          <w:rFonts w:ascii="等线(中文正文)" w:hAnsi="等线(中文正文)" w:cs="等线(中文正文)" w:eastAsia="等线(中文正文)"/>
          <w:b w:val="false"/>
          <w:i w:val="false"/>
          <w:sz w:val="20"/>
        </w:rPr>
        <w:t/>
      </w:r>
    </w:p>
    <w:p>
      <w:pPr>
        <w:pStyle w:val="ab"/>
        <w:numPr>
          <w:numId w:val="7"/>
        </w:numPr>
      </w:pPr>
      <w:r>
        <w:t>17:06 算力协同与AI对冲逻辑分析及电力行业投资策略</w:t>
      </w:r>
    </w:p>
    <w:p>
      <w:r>
        <w:rPr>
          <w:rFonts w:ascii="等线(中文正文)" w:hAnsi="等线(中文正文)" w:cs="等线(中文正文)" w:eastAsia="等线(中文正文)"/>
          <w:b w:val="false"/>
          <w:i w:val="false"/>
          <w:sz w:val="20"/>
        </w:rPr>
        <w:t>讨论了大唐发电被误炒的原因，涉及大唐新能源项目及港股通限制。分析了算力协同作为AI对冲品种的逻辑，指出其在市场波动时缺乏防御性。建议关注直接建设IDC的电力公司及有政府背书的地方国企，强调选股逻辑与机构审美。</w:t>
      </w:r>
    </w:p>
    <w:p>
      <w:r>
        <w:rPr>
          <w:rFonts w:ascii="等线(中文正文)" w:hAnsi="等线(中文正文)" w:cs="等线(中文正文)" w:eastAsia="等线(中文正文)"/>
          <w:b w:val="false"/>
          <w:i w:val="false"/>
          <w:sz w:val="20"/>
        </w:rPr>
        <w:t/>
      </w:r>
    </w:p>
    <w:p>
      <w:pPr>
        <w:pStyle w:val="ab"/>
        <w:numPr>
          <w:numId w:val="8"/>
        </w:numPr>
      </w:pPr>
      <w:r>
        <w:t>21:11 新能源与算力协同项目市场分析</w:t>
      </w:r>
    </w:p>
    <w:p>
      <w:r>
        <w:rPr>
          <w:rFonts w:ascii="等线(中文正文)" w:hAnsi="等线(中文正文)" w:cs="等线(中文正文)" w:eastAsia="等线(中文正文)"/>
          <w:b w:val="false"/>
          <w:i w:val="false"/>
          <w:sz w:val="20"/>
        </w:rPr>
        <w:t>讨论了电网系公司在算力协同项目中的角色及挑战，指出电力公司为响应国家号召积极参与竞标，但算力项目收益率可能较低。提及一家中国民企转型为全球电力公司，投资美国电站，展现了其在新能源领域的潜力与战略调整。</w:t>
      </w:r>
    </w:p>
    <w:p>
      <w:r>
        <w:rPr>
          <w:rFonts w:ascii="等线(中文正文)" w:hAnsi="等线(中文正文)" w:cs="等线(中文正文)" w:eastAsia="等线(中文正文)"/>
          <w:b w:val="false"/>
          <w:i w:val="false"/>
          <w:sz w:val="20"/>
        </w:rPr>
        <w:t/>
      </w:r>
    </w:p>
    <w:p>
      <w:pPr>
        <w:pStyle w:val="ab"/>
        <w:numPr>
          <w:numId w:val="9"/>
        </w:numPr>
      </w:pPr>
      <w:r>
        <w:t>24:12 美国新能源项目与算力系统投资分析</w:t>
      </w:r>
    </w:p>
    <w:p>
      <w:r>
        <w:rPr>
          <w:rFonts w:ascii="等线(中文正文)" w:hAnsi="等线(中文正文)" w:cs="等线(中文正文)" w:eastAsia="等线(中文正文)"/>
          <w:b w:val="false"/>
          <w:i w:val="false"/>
          <w:sz w:val="20"/>
        </w:rPr>
        <w:t>对话深入探讨了美国新能源项目，特别是光伏和风力发电的核准周期长、收益率高的特点，以及与算力系统结合的商业模式。提及了与AI大厂合作开发IDC的潜在收益，如路桥费可达三四十亿人民币。同时，分析了煤炭和电力市场的关键指标，如动力煤价格、气温与负荷情况、电价传导，预测六月底前市场演绎到位。最后，推荐关注特定标的，强调其高赔率和投资价值。</w:t>
      </w:r>
    </w:p>
    <w:p>
      <w:r>
        <w:rPr>
          <w:rFonts w:ascii="等线(中文正文)" w:hAnsi="等线(中文正文)" w:cs="等线(中文正文)" w:eastAsia="等线(中文正文)"/>
          <w:b w:val="false"/>
          <w:i w:val="false"/>
          <w:sz w:val="20"/>
        </w:rPr>
        <w:t/>
      </w:r>
    </w:p>
    <w:p>
      <w:pPr>
        <w:pStyle w:val="ab"/>
        <w:numPr>
          <w:numId w:val="10"/>
        </w:numPr>
      </w:pPr>
      <w:r>
        <w:t>29:39 国电电力投资价值与分红承诺分析</w:t>
      </w:r>
    </w:p>
    <w:p>
      <w:r>
        <w:rPr>
          <w:rFonts w:ascii="等线(中文正文)" w:hAnsi="等线(中文正文)" w:cs="等线(中文正文)" w:eastAsia="等线(中文正文)"/>
          <w:b w:val="false"/>
          <w:i w:val="false"/>
          <w:sz w:val="20"/>
        </w:rPr>
        <w:t>对话深入探讨了国电电力的盈利模式和未来增长点，包括火电与水电业务的协同效应以及新能源板块的潜力。火电部分受益于与神华的深度合作，确保燃料成本优势；水电业务通过新增装机容量和龙头水库调节能力，预计业绩将翻倍。此外，公司承诺未来三年分红不低于50%，提升股息率，整体估值预估在1350-1400亿区间，显示其作为价值投资标的的吸引力。</w:t>
      </w:r>
    </w:p>
    <w:p>
      <w:r>
        <w:rPr>
          <w:rFonts w:ascii="等线(中文正文)" w:hAnsi="等线(中文正文)" w:cs="等线(中文正文)" w:eastAsia="等线(中文正文)"/>
          <w:b w:val="false"/>
          <w:i w:val="false"/>
          <w:sz w:val="20"/>
        </w:rPr>
        <w:t/>
      </w:r>
    </w:p>
    <w:p>
      <w:pPr>
        <w:pStyle w:val="ab"/>
        <w:numPr>
          <w:numId w:val="11"/>
        </w:numPr>
      </w:pPr>
      <w:r>
        <w:t>32:49 市值冲刺千亿与绿色化工逻辑探讨</w:t>
      </w:r>
    </w:p>
    <w:p>
      <w:r>
        <w:rPr>
          <w:rFonts w:ascii="等线(中文正文)" w:hAnsi="等线(中文正文)" w:cs="等线(中文正文)" w:eastAsia="等线(中文正文)"/>
          <w:b w:val="false"/>
          <w:i w:val="false"/>
          <w:sz w:val="20"/>
        </w:rPr>
        <w:t>讨论了中国大型发电集团为冲刺千亿市值所采取的策略，包括算力协同等努力，以及绿色化工在当前市场环境下的独特逻辑，指出其与传统绿色燃料的差异，强调了环保与碳中和属性在定价中的重要性。</w:t>
      </w:r>
    </w:p>
    <w:p>
      <w:r>
        <w:rPr>
          <w:rFonts w:ascii="等线(中文正文)" w:hAnsi="等线(中文正文)" w:cs="等线(中文正文)" w:eastAsia="等线(中文正文)"/>
          <w:b w:val="false"/>
          <w:i w:val="false"/>
          <w:sz w:val="20"/>
        </w:rPr>
        <w:t/>
      </w:r>
    </w:p>
    <w:p>
      <w:pPr>
        <w:pStyle w:val="ab"/>
        <w:numPr>
          <w:numId w:val="12"/>
        </w:numPr>
      </w:pPr>
      <w:r>
        <w:t>35:33 发酵法甲醇成本优势与嘉德项目前景分析</w:t>
      </w:r>
    </w:p>
    <w:p>
      <w:r>
        <w:rPr>
          <w:rFonts w:ascii="等线(中文正文)" w:hAnsi="等线(中文正文)" w:cs="等线(中文正文)" w:eastAsia="等线(中文正文)"/>
          <w:b w:val="false"/>
          <w:i w:val="false"/>
          <w:sz w:val="20"/>
        </w:rPr>
        <w:t>讨论了嘉德采用发酵法生产甲醇的成本优势，以及其项目可能带来的市场影响。嘉德项目分为30万吨和3万吨生产线，后者预计8月底实现国产，验证技术可行性。嘉德老板及管理层对项目充满信心，通过个人投资和高管团队认购股权等方式表明看好。嘉德项目与汇通环保项目相比，具有更低的时间和机会成本，当前股价5元左右，被视为具有性价比的投资机会。</w:t>
      </w:r>
    </w:p>
    <w:p>
      <w:r>
        <w:rPr>
          <w:rFonts w:ascii="等线(中文正文)" w:hAnsi="等线(中文正文)" w:cs="等线(中文正文)" w:eastAsia="等线(中文正文)"/>
          <w:b w:val="false"/>
          <w:i w:val="false"/>
          <w:sz w:val="20"/>
        </w:rPr>
        <w:t/>
      </w:r>
    </w:p>
    <w:p>
      <w:pPr>
        <w:pStyle w:val="ab"/>
        <w:numPr>
          <w:numId w:val="13"/>
        </w:numPr>
      </w:pPr>
      <w:r>
        <w:t>38:38 绿色甲醇项目引发资本关注</w:t>
      </w:r>
    </w:p>
    <w:p>
      <w:r>
        <w:rPr>
          <w:rFonts w:ascii="等线(中文正文)" w:hAnsi="等线(中文正文)" w:cs="等线(中文正文)" w:eastAsia="等线(中文正文)"/>
          <w:b w:val="false"/>
          <w:i w:val="false"/>
          <w:sz w:val="20"/>
        </w:rPr>
        <w:t>对话围绕绿色甲醇项目展开，讨论了项目潜在的巨大利润和市场前景。参与者提到，如果项目在八九月份成功，南航、国航等产业资本将可能入股，这将是对项目专业性的一种背书。项目核心在于低成本生产绿色甲醇，可能颠覆现有气化炉工艺，推动轻资产扩张，转型为科技或合成生物学公司。此外，中国庞大的秸秆资源为项目提供了原料保障，预计未来市场潜力巨大，但产能受限于秸秆供应量。</w:t>
      </w:r>
    </w:p>
    <w:p>
      <w:r>
        <w:rPr>
          <w:rFonts w:ascii="等线(中文正文)" w:hAnsi="等线(中文正文)" w:cs="等线(中文正文)" w:eastAsia="等线(中文正文)"/>
          <w:b w:val="false"/>
          <w:i w:val="false"/>
          <w:sz w:val="20"/>
        </w:rPr>
        <w:t/>
      </w:r>
    </w:p>
    <w:p>
      <w:pPr>
        <w:pStyle w:val="ab"/>
        <w:numPr>
          <w:numId w:val="14"/>
        </w:numPr>
      </w:pPr>
      <w:r>
        <w:t>41:42 秸秆资源化利用与纤维素酶成本降低的市场机遇</w:t>
      </w:r>
    </w:p>
    <w:p>
      <w:r>
        <w:rPr>
          <w:rFonts w:ascii="等线(中文正文)" w:hAnsi="等线(中文正文)" w:cs="等线(中文正文)" w:eastAsia="等线(中文正文)"/>
          <w:b w:val="false"/>
          <w:i w:val="false"/>
          <w:sz w:val="20"/>
        </w:rPr>
        <w:t>对话讨论了中国东北和华北地区PM2.5指标上升与秸秆焚烧的关系，指出生物质发电因财政补贴不足导致秸秆回收受阻。同时，提及了一项在黑龙江利用秸秆的项目，通过突破纤维素酶生产成本，实现秸秆资源化利用，预计可带来可观利润。该项目依赖于纤维素酶的成本降低，以及地方政府的政策支持。</w:t>
      </w:r>
    </w:p>
    <w:p>
      <w:r>
        <w:rPr>
          <w:rFonts w:ascii="等线(中文正文)" w:hAnsi="等线(中文正文)" w:cs="等线(中文正文)" w:eastAsia="等线(中文正文)"/>
          <w:b w:val="false"/>
          <w:i w:val="false"/>
          <w:sz w:val="20"/>
        </w:rPr>
        <w:t/>
      </w:r>
    </w:p>
    <w:p>
      <w:pPr>
        <w:pStyle w:val="ab"/>
        <w:numPr>
          <w:numId w:val="15"/>
        </w:numPr>
      </w:pPr>
      <w:r>
        <w:t>45:47 废塑料回收技术挑战与生物质能源项目分析</w:t>
      </w:r>
    </w:p>
    <w:p>
      <w:r>
        <w:rPr>
          <w:rFonts w:ascii="等线(中文正文)" w:hAnsi="等线(中文正文)" w:cs="等线(中文正文)" w:eastAsia="等线(中文正文)"/>
          <w:b w:val="false"/>
          <w:i w:val="false"/>
          <w:sz w:val="20"/>
        </w:rPr>
        <w:t>对话讨论了汇城废塑料回收项目因原材料不均一性导致连续生产困难，以及龙力生物纤维素乙醇项目因成本上升、竞争加剧和补贴减少而失败的原因。强调了技术可行性、成本控制和市场环境对项目成功的重要性。</w:t>
      </w:r>
    </w:p>
    <w:p>
      <w:r>
        <w:rPr>
          <w:rFonts w:ascii="等线(中文正文)" w:hAnsi="等线(中文正文)" w:cs="等线(中文正文)" w:eastAsia="等线(中文正文)"/>
          <w:b w:val="false"/>
          <w:i w:val="false"/>
          <w:sz w:val="20"/>
        </w:rPr>
        <w:t/>
      </w:r>
    </w:p>
    <w:p>
      <w:pPr>
        <w:pStyle w:val="ab"/>
        <w:numPr>
          <w:numId w:val="16"/>
        </w:numPr>
      </w:pPr>
      <w:r>
        <w:t>48:49 桂冠电力西藏项目与水电站创新商业模式探讨</w:t>
      </w:r>
    </w:p>
    <w:p>
      <w:r>
        <w:rPr>
          <w:rFonts w:ascii="等线(中文正文)" w:hAnsi="等线(中文正文)" w:cs="等线(中文正文)" w:eastAsia="等线(中文正文)"/>
          <w:b w:val="false"/>
          <w:i w:val="false"/>
          <w:sz w:val="20"/>
        </w:rPr>
        <w:t>讨论了桂冠电力在西藏的项目扩展计划及其对股价的影响，提出水电站内部空间用于散热的创新商业模式，分析了国家政策对绿电直连的限制及未来可能性，强调了项目经济性和股票活跃性，预计年内开工并可能带来股价上涨。</w:t>
      </w:r>
    </w:p>
    <w:p>
      <w:r>
        <w:rPr>
          <w:rFonts w:ascii="等线(中文正文)" w:hAnsi="等线(中文正文)" w:cs="等线(中文正文)" w:eastAsia="等线(中文正文)"/>
          <w:b w:val="false"/>
          <w:i w:val="false"/>
          <w:sz w:val="20"/>
        </w:rPr>
        <w:t/>
      </w:r>
    </w:p>
    <w:p>
      <w:pPr>
        <w:pStyle w:val="ab"/>
        <w:numPr>
          <w:numId w:val="17"/>
        </w:numPr>
      </w:pPr>
      <w:r>
        <w:t>52:11 中国高速传动与风电齿轮箱行业分析</w:t>
      </w:r>
    </w:p>
    <w:p>
      <w:r>
        <w:rPr>
          <w:rFonts w:ascii="等线(中文正文)" w:hAnsi="等线(中文正文)" w:cs="等线(中文正文)" w:eastAsia="等线(中文正文)"/>
          <w:b w:val="false"/>
          <w:i w:val="false"/>
          <w:sz w:val="20"/>
        </w:rPr>
        <w:t>对话讨论了中国高速传动作为风电齿轮箱龙头企业的市场地位和技术优势，尽管市值仅为30亿，但预计未来价值可达300亿。同时提及了行业内的德利嘉公司，因管理层行为导致公司利润转移，现正由政府接管改善状况。</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深入探讨了能源领域中的多个关键议题，着重强调了能源安全、电力行业改革以及新能源技术的发展。他指出，中国与美国在能源领域既是竞争对手也是合作伙伴，特别关注能源价格波动和供应稳定对中国能源战略的重要性。在具体行业上，他分析了煤炭、电力、新能源和氢能的投资前景，尤其是对中国煤炭及电力行业的未来展望，同时评估了新能源发展的挑战与趋势。此外，他还讨论了算力协同与人工智能发展对能源需求的影响，评价了中国在这些新兴领域的竞争优势与不足。他承认中国在能源转型过程中面临诸多挑战，但强调了政府政策支持与庞大的市场潜力为相关企业带来的机遇。同时，他提出了算力协同的商业模式，并探讨了利用技术创新解决能源与算力需求矛盾的可能性。整体而言，他的发言涵盖了能源安全、电力改革、新能源技术及市场机会等广泛议题，突显了中国在能源转型与技术创新方面面临的机遇与挑战。</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问：在能源安全方面，中国和美国的核心问题是什么？当前关于能源安全的两个主要讨论点是什么？</w:t>
      </w:r>
    </w:p>
    <w:p>
      <w:r>
        <w:rPr>
          <w:rFonts w:ascii="等线(中文正文)" w:hAnsi="等线(中文正文)" w:cs="等线(中文正文)" w:eastAsia="等线(中文正文)"/>
          <w:b w:val="false"/>
          <w:i w:val="false"/>
          <w:sz w:val="20"/>
        </w:rPr>
        <w:t>发言人1 答：中国与美国在能源安全和交易的核心问题在于能源价格的高低，关键在于能源资源是否充足。中国的经济体量庞大，对能源消费的需求较大，即使面临煤价、电价的小幅上涨，实体经济通常能够承受。中国的能源优势并不体现在电价上，而是体现在丰富的煤炭资源和快速发展的电力设备制造能力上。当前能源安全的两个热点讨论点分别是“换敢侠美丽战争”以及中国与美国之间的算力竞争。有观点认为AI发展依赖电力，但实际中国电力的优势并不在于价格便宜，而是中国拥有丰富的煤炭资源，而在石油和天然气方面相对短缺。</w:t>
      </w:r>
    </w:p>
    <w:p>
      <w:r>
        <w:rPr>
          <w:rFonts w:ascii="等线(中文正文)" w:hAnsi="等线(中文正文)" w:cs="等线(中文正文)" w:eastAsia="等线(中文正文)"/>
          <w:b w:val="false"/>
          <w:i w:val="false"/>
          <w:sz w:val="20"/>
        </w:rPr>
        <w:t/>
      </w:r>
    </w:p>
    <w:p>
      <w:pPr>
        <w:pStyle w:val="ab"/>
      </w:pPr>
      <w:r>
        <w:t>发言人1 问：当前能源消费结构及发展趋势如何？</w:t>
      </w:r>
    </w:p>
    <w:p>
      <w:r>
        <w:rPr>
          <w:rFonts w:ascii="等线(中文正文)" w:hAnsi="等线(中文正文)" w:cs="等线(中文正文)" w:eastAsia="等线(中文正文)"/>
          <w:b w:val="false"/>
          <w:i w:val="false"/>
          <w:sz w:val="20"/>
        </w:rPr>
        <w:t>发言人1 答：目前，中国能源消费中电力占比为35%，而非电形式的能源消费占据重要地位。新能源（风电光伏）在全球能源消费中的占比仅为6%左右，随着新能源发展遇到瓶颈，需要将电能转换为其他形式的能源，如氢能、甲醇等。同时，当前市场对煤炭板块较为看好，因为供需关系紧张，煤价呈系统性抬升走势，尤其在厄尔尼诺现象影响下，预计夏季电力负荷将较往年有所增长，进一步支撑煤炭需求。</w:t>
      </w:r>
    </w:p>
    <w:p>
      <w:r>
        <w:rPr>
          <w:rFonts w:ascii="等线(中文正文)" w:hAnsi="等线(中文正文)" w:cs="等线(中文正文)" w:eastAsia="等线(中文正文)"/>
          <w:b w:val="false"/>
          <w:i w:val="false"/>
          <w:sz w:val="20"/>
        </w:rPr>
        <w:t/>
      </w:r>
    </w:p>
    <w:p>
      <w:pPr>
        <w:pStyle w:val="ab"/>
      </w:pPr>
      <w:r>
        <w:t>发言人1 问：美国在能源基建方面的表现如何？</w:t>
      </w:r>
    </w:p>
    <w:p>
      <w:r>
        <w:rPr>
          <w:rFonts w:ascii="等线(中文正文)" w:hAnsi="等线(中文正文)" w:cs="等线(中文正文)" w:eastAsia="等线(中文正文)"/>
          <w:b w:val="false"/>
          <w:i w:val="false"/>
          <w:sz w:val="20"/>
        </w:rPr>
        <w:t>发言人1 答：美国在能源基建方面的表现相对较慢，例如燃气设施建设上，中国的建设速度大约为两年到三年，而美国可能需要四年甚至更久的时间。尽管美国拥有丰富的化石能源资源，但在基建效率和速度上不如中国。</w:t>
      </w:r>
    </w:p>
    <w:p>
      <w:r>
        <w:rPr>
          <w:rFonts w:ascii="等线(中文正文)" w:hAnsi="等线(中文正文)" w:cs="等线(中文正文)" w:eastAsia="等线(中文正文)"/>
          <w:b w:val="false"/>
          <w:i w:val="false"/>
          <w:sz w:val="20"/>
        </w:rPr>
        <w:t/>
      </w:r>
    </w:p>
    <w:p>
      <w:pPr>
        <w:pStyle w:val="ab"/>
      </w:pPr>
      <w:r>
        <w:t>发言人1 问：中国能源战略的核心策略是什么？</w:t>
      </w:r>
    </w:p>
    <w:p>
      <w:r>
        <w:rPr>
          <w:rFonts w:ascii="等线(中文正文)" w:hAnsi="等线(中文正文)" w:cs="等线(中文正文)" w:eastAsia="等线(中文正文)"/>
          <w:b w:val="false"/>
          <w:i w:val="false"/>
          <w:sz w:val="20"/>
        </w:rPr>
        <w:t>发言人1 答：中国能源战略的核心是以煤炭为基础，逐步向电力转型，并且利用自身在电力设备制造方面的优势进行出口。此外，中国也在积极发展氢能产业链，如氢氨醇产业链，以应对电力化瓶颈和新能源渗透率较低带来的问题。</w:t>
      </w:r>
    </w:p>
    <w:p>
      <w:r>
        <w:rPr>
          <w:rFonts w:ascii="等线(中文正文)" w:hAnsi="等线(中文正文)" w:cs="等线(中文正文)" w:eastAsia="等线(中文正文)"/>
          <w:b w:val="false"/>
          <w:i w:val="false"/>
          <w:sz w:val="20"/>
        </w:rPr>
        <w:t/>
      </w:r>
    </w:p>
    <w:p>
      <w:pPr>
        <w:pStyle w:val="ab"/>
      </w:pPr>
      <w:r>
        <w:t>发言人1 问：山西长治矿难之后，对煤炭行业的影响是什么？</w:t>
      </w:r>
    </w:p>
    <w:p>
      <w:r>
        <w:rPr>
          <w:rFonts w:ascii="等线(中文正文)" w:hAnsi="等线(中文正文)" w:cs="等线(中文正文)" w:eastAsia="等线(中文正文)"/>
          <w:b w:val="false"/>
          <w:i w:val="false"/>
          <w:sz w:val="20"/>
        </w:rPr>
        <w:t>发言人1 答：矿难后确实导致全行业加大了安监力度，部分煤矿停产几天后就恢复生产，旺季时由于政府保供任务，对矿难影响有限。但在淡季，预计相关措施会加强，且会有一些接地气有效的政策，比如鼓励矿工举报煤矿超产行为，这可能长期减少非法产能5000万吨至7000万吨。</w:t>
      </w:r>
    </w:p>
    <w:p>
      <w:r>
        <w:rPr>
          <w:rFonts w:ascii="等线(中文正文)" w:hAnsi="等线(中文正文)" w:cs="等线(中文正文)" w:eastAsia="等线(中文正文)"/>
          <w:b w:val="false"/>
          <w:i w:val="false"/>
          <w:sz w:val="20"/>
        </w:rPr>
        <w:t/>
      </w:r>
    </w:p>
    <w:p>
      <w:pPr>
        <w:pStyle w:val="ab"/>
      </w:pPr>
      <w:r>
        <w:t>发言人1 问：目前煤炭投资行情如何理解？对于煤炭市场的看法及操作策略是怎样的？</w:t>
      </w:r>
    </w:p>
    <w:p>
      <w:r>
        <w:rPr>
          <w:rFonts w:ascii="等线(中文正文)" w:hAnsi="等线(中文正文)" w:cs="等线(中文正文)" w:eastAsia="等线(中文正文)"/>
          <w:b w:val="false"/>
          <w:i w:val="false"/>
          <w:sz w:val="20"/>
        </w:rPr>
        <w:t>发言人1 答：从价值投资角度看，虽然部分煤炭企业的估值较高，如某煤炭企业市盈率达到15倍，相比历史算是相对偏高，但鉴于煤炭板块整体在周期行业中表现并不算最强，且科技资金有向煤炭市场溢出的趋势，因此投资者仍保持一定的煤炭仓位，不轻易减仓，视其为科技对冲或避险品种。认为六月份煤炭市场趋势大概率会延续上涨态势，建议把握煤炭板块的整体行情，不必过于纠结个券选择。即使有些小盘股如平美股份涨势强劲，但科技资金更多关注的是机构持仓较低、有较大上行空间的方向。对于想要配置煤炭板块的投资者来说，可以考虑购买煤炭相关ETF，简单直接地参与市场波动。</w:t>
      </w:r>
    </w:p>
    <w:p>
      <w:r>
        <w:rPr>
          <w:rFonts w:ascii="等线(中文正文)" w:hAnsi="等线(中文正文)" w:cs="等线(中文正文)" w:eastAsia="等线(中文正文)"/>
          <w:b w:val="false"/>
          <w:i w:val="false"/>
          <w:sz w:val="20"/>
        </w:rPr>
        <w:t/>
      </w:r>
    </w:p>
    <w:p>
      <w:pPr>
        <w:pStyle w:val="ab"/>
      </w:pPr>
      <w:r>
        <w:t>发言人1 问：电力股在当前环境下表现如何？</w:t>
      </w:r>
    </w:p>
    <w:p>
      <w:r>
        <w:rPr>
          <w:rFonts w:ascii="等线(中文正文)" w:hAnsi="等线(中文正文)" w:cs="等线(中文正文)" w:eastAsia="等线(中文正文)"/>
          <w:b w:val="false"/>
          <w:i w:val="false"/>
          <w:sz w:val="20"/>
        </w:rPr>
        <w:t>发言人1 答：电力股受电力供需状况影响较大，近期受缺电预期提振而有所上涨，被视为科技对冲品种。然而，从长期基本面来看，煤炭价格上涨可能超过电价涨幅，从而对电力股的业绩产生负面影响。因此，虽然电力股具有一定的投资价值，但从长期配置角度来看，仍建议谨慎对待，而煤炭股则可能保持相对强势。</w:t>
      </w:r>
    </w:p>
    <w:p>
      <w:r>
        <w:rPr>
          <w:rFonts w:ascii="等线(中文正文)" w:hAnsi="等线(中文正文)" w:cs="等线(中文正文)" w:eastAsia="等线(中文正文)"/>
          <w:b w:val="false"/>
          <w:i w:val="false"/>
          <w:sz w:val="20"/>
        </w:rPr>
        <w:t/>
      </w:r>
    </w:p>
    <w:p>
      <w:pPr>
        <w:pStyle w:val="ab"/>
      </w:pPr>
      <w:r>
        <w:t>发言人1 问：算力协同和AI的对冲逻辑是怎样的？机构在选择算力系统相关标的时有何偏好？</w:t>
      </w:r>
    </w:p>
    <w:p>
      <w:r>
        <w:rPr>
          <w:rFonts w:ascii="等线(中文正文)" w:hAnsi="等线(中文正文)" w:cs="等线(中文正文)" w:eastAsia="等线(中文正文)"/>
          <w:b w:val="false"/>
          <w:i w:val="false"/>
          <w:sz w:val="20"/>
        </w:rPr>
        <w:t>发言人1 答：当AI主线易用券上涨时，算力协同相关板块较少受到关注；而当其高位横盘时，算力协同开始走方案逻辑。然而，在特定事件如美伊打仗或特访华结束导致市场暴跌时，算力协同生态系统的防御性较弱，往往比主线跌得更多。即使后期主线创新高，生态系统可能仍处于低位。从机构审美角度看，首选是直接参与IDC建设的电力公司，这类公司估值转换最为顺畅。其次，对于新能源或电力类公司，如果有参与三级头项目或与当地政府合作开发数据中心的背景，会相对受到青睐，因为这些公司更容易获得合作机会并具备一定的业绩弹性。</w:t>
      </w:r>
    </w:p>
    <w:p>
      <w:r>
        <w:rPr>
          <w:rFonts w:ascii="等线(中文正文)" w:hAnsi="等线(中文正文)" w:cs="等线(中文正文)" w:eastAsia="等线(中文正文)"/>
          <w:b w:val="false"/>
          <w:i w:val="false"/>
          <w:sz w:val="20"/>
        </w:rPr>
        <w:t/>
      </w:r>
    </w:p>
    <w:p>
      <w:pPr>
        <w:pStyle w:val="ab"/>
      </w:pPr>
      <w:r>
        <w:t>发言人1 问：对于科技调整，算力系统是否有较好的对冲性？</w:t>
      </w:r>
    </w:p>
    <w:p>
      <w:r>
        <w:rPr>
          <w:rFonts w:ascii="等线(中文正文)" w:hAnsi="等线(中文正文)" w:cs="等线(中文正文)" w:eastAsia="等线(中文正文)"/>
          <w:b w:val="false"/>
          <w:i w:val="false"/>
          <w:sz w:val="20"/>
        </w:rPr>
        <w:t>发言人1 答：六月份若科技有较大调整，算力系统缺乏有效的对冲性，其效果不如煤炭和电力行业。选股方面，一些估值低、筹码少的电力公司更适合投资，尤其是那些有建设IDC项目的地方国企，如甘肃能源小米股份等，因其拥有政府背书，在合作机会上更具弹性。</w:t>
      </w:r>
    </w:p>
    <w:p>
      <w:r>
        <w:rPr>
          <w:rFonts w:ascii="等线(中文正文)" w:hAnsi="等线(中文正文)" w:cs="等线(中文正文)" w:eastAsia="等线(中文正文)"/>
          <w:b w:val="false"/>
          <w:i w:val="false"/>
          <w:sz w:val="20"/>
        </w:rPr>
        <w:t/>
      </w:r>
    </w:p>
    <w:p>
      <w:pPr>
        <w:pStyle w:val="ab"/>
      </w:pPr>
      <w:r>
        <w:t>发言人1 问：电网系公司在算力系统建设中的角色是什么？</w:t>
      </w:r>
    </w:p>
    <w:p>
      <w:r>
        <w:rPr>
          <w:rFonts w:ascii="等线(中文正文)" w:hAnsi="等线(中文正文)" w:cs="等线(中文正文)" w:eastAsia="等线(中文正文)"/>
          <w:b w:val="false"/>
          <w:i w:val="false"/>
          <w:sz w:val="20"/>
        </w:rPr>
        <w:t>发言人1 答：电网系公司在算力系统建设中起到关键作用，因为绿电智联项目需要电网公司的配合。之前在三月份，南网和国网的相关股票就因为这种逻辑而表现较好。但由于目前该板块估值较高且兑现业绩存在一定困难，因此并非长期投资首选。</w:t>
      </w:r>
    </w:p>
    <w:p>
      <w:r>
        <w:rPr>
          <w:rFonts w:ascii="等线(中文正文)" w:hAnsi="等线(中文正文)" w:cs="等线(中文正文)" w:eastAsia="等线(中文正文)"/>
          <w:b w:val="false"/>
          <w:i w:val="false"/>
          <w:sz w:val="20"/>
        </w:rPr>
        <w:t/>
      </w:r>
    </w:p>
    <w:p>
      <w:pPr>
        <w:pStyle w:val="ab"/>
      </w:pPr>
      <w:r>
        <w:t>发言人1 问：宁夏大数据局调研项目的收益率情况如何？</w:t>
      </w:r>
    </w:p>
    <w:p>
      <w:r>
        <w:rPr>
          <w:rFonts w:ascii="等线(中文正文)" w:hAnsi="等线(中文正文)" w:cs="等线(中文正文)" w:eastAsia="等线(中文正文)"/>
          <w:b w:val="false"/>
          <w:i w:val="false"/>
          <w:sz w:val="20"/>
        </w:rPr>
        <w:t>发言人1 答：宁夏中卫的一个2.67瓦项目，据调研其资本金收益率大约只有5%，远低于美国市场的收益率。这表明算力公司在与电力公司合作时更多是在“薅羊毛”，实际的投资回报率并不理想。而提到的一个美国案例，由于美国不缺电力但缺算力，公共事业类电力公司过去两三年的表现较好，未来可能延续这一趋势。</w:t>
      </w:r>
    </w:p>
    <w:p>
      <w:r>
        <w:rPr>
          <w:rFonts w:ascii="等线(中文正文)" w:hAnsi="等线(中文正文)" w:cs="等线(中文正文)" w:eastAsia="等线(中文正文)"/>
          <w:b w:val="false"/>
          <w:i w:val="false"/>
          <w:sz w:val="20"/>
        </w:rPr>
        <w:t/>
      </w:r>
    </w:p>
    <w:p>
      <w:pPr>
        <w:pStyle w:val="ab"/>
      </w:pPr>
      <w:r>
        <w:t>发言人1 问：你覆盖的某资管牛逼公司是如何在美国取得成功的？</w:t>
      </w:r>
    </w:p>
    <w:p>
      <w:r>
        <w:rPr>
          <w:rFonts w:ascii="等线(中文正文)" w:hAnsi="等线(中文正文)" w:cs="等线(中文正文)" w:eastAsia="等线(中文正文)"/>
          <w:b w:val="false"/>
          <w:i w:val="false"/>
          <w:sz w:val="20"/>
        </w:rPr>
        <w:t>发言人1 答：该公司在2021年开始将总部搬到新加坡，转型为全球电力公司。在美国，他们成功获得了风力光伏项目的指标，拿到后快速推进并预计在2025年投产。根据最新的可研报告，美国新能源项目的收益率较高，约为18%至20%，周期约为四五年。基于此公司在美国的三个G瓦项目计划，保守估计其市值能够增长至250亿人民币左右。</w:t>
      </w:r>
    </w:p>
    <w:p>
      <w:r>
        <w:rPr>
          <w:rFonts w:ascii="等线(中文正文)" w:hAnsi="等线(中文正文)" w:cs="等线(中文正文)" w:eastAsia="等线(中文正文)"/>
          <w:b w:val="false"/>
          <w:i w:val="false"/>
          <w:sz w:val="20"/>
        </w:rPr>
        <w:t/>
      </w:r>
    </w:p>
    <w:p>
      <w:pPr>
        <w:pStyle w:val="ab"/>
      </w:pPr>
      <w:r>
        <w:t>发言人1 问：该美国公司在IDC领域如何操作？</w:t>
      </w:r>
    </w:p>
    <w:p>
      <w:r>
        <w:rPr>
          <w:rFonts w:ascii="等线(中文正文)" w:hAnsi="等线(中文正文)" w:cs="等线(中文正文)" w:eastAsia="等线(中文正文)"/>
          <w:b w:val="false"/>
          <w:i w:val="false"/>
          <w:sz w:val="20"/>
        </w:rPr>
        <w:t>发言人1 答：该公司大概率不会自行投资建设IDC，而是寻找美国AI大厂进行合作，通过支付一定的费用或持有股份的方式参与项目。例如，特斯拉或甲骨文可能是潜在的合作伙伴，因为他们目前需要增加算力产能，而该公司拥有可用的电力指标资源。</w:t>
      </w:r>
    </w:p>
    <w:p>
      <w:r>
        <w:rPr>
          <w:rFonts w:ascii="等线(中文正文)" w:hAnsi="等线(中文正文)" w:cs="等线(中文正文)" w:eastAsia="等线(中文正文)"/>
          <w:b w:val="false"/>
          <w:i w:val="false"/>
          <w:sz w:val="20"/>
        </w:rPr>
        <w:t/>
      </w:r>
    </w:p>
    <w:p>
      <w:pPr>
        <w:pStyle w:val="ab"/>
      </w:pPr>
      <w:r>
        <w:t>发言人1 问：特斯拉收购的子公司主要情况如何？协和未来的商业模式是什么？</w:t>
      </w:r>
    </w:p>
    <w:p>
      <w:r>
        <w:rPr>
          <w:rFonts w:ascii="等线(中文正文)" w:hAnsi="等线(中文正文)" w:cs="等线(中文正文)" w:eastAsia="等线(中文正文)"/>
          <w:b w:val="false"/>
          <w:i w:val="false"/>
          <w:sz w:val="20"/>
        </w:rPr>
        <w:t>发言人1 答：特斯拉花费30亿购买的子公司原本是个空壳公司，其关键在于获得了州政府的电力指标审批资格。该州政府审批严格，主要看企业是否拥有足够的电力资源。特斯拉计划通过其在美国的三个G瓦至四个G瓦电站，为IDC提供稳定的电力供应，形成类似美国版的算力系统，即IDC业务。协和未来可能不再发展IDC业务，而是转向销售电力，利用自身在美国的大型电站向IDC出售电力，形成稳定的收益来源，并且由于其收益率高于中国，整个空间和赔率都比较大。</w:t>
      </w:r>
    </w:p>
    <w:p>
      <w:r>
        <w:rPr>
          <w:rFonts w:ascii="等线(中文正文)" w:hAnsi="等线(中文正文)" w:cs="等线(中文正文)" w:eastAsia="等线(中文正文)"/>
          <w:b w:val="false"/>
          <w:i w:val="false"/>
          <w:sz w:val="20"/>
        </w:rPr>
        <w:t/>
      </w:r>
    </w:p>
    <w:p>
      <w:pPr>
        <w:pStyle w:val="ab"/>
      </w:pPr>
      <w:r>
        <w:t>发言人1 问：煤炭和电力投资方面有哪些推荐标的？</w:t>
      </w:r>
    </w:p>
    <w:p>
      <w:r>
        <w:rPr>
          <w:rFonts w:ascii="等线(中文正文)" w:hAnsi="等线(中文正文)" w:cs="等线(中文正文)" w:eastAsia="等线(中文正文)"/>
          <w:b w:val="false"/>
          <w:i w:val="false"/>
          <w:sz w:val="20"/>
        </w:rPr>
        <w:t>发言人1 答：推荐煤炭股和电力股，尤其是国电电力。国电电力作为火电和水电业务的综合运营企业，其火电部分与神华煤电联营，能有效降低成本并在煤炭价格上涨时保持燃料成本涨幅最低，同时还能受益于电价上涨。此外，国电电力的水电站装机容量将大幅增长，从11个G瓦增至15个G瓦以上，带来显著的业绩修复空间。</w:t>
      </w:r>
    </w:p>
    <w:p>
      <w:r>
        <w:rPr>
          <w:rFonts w:ascii="等线(中文正文)" w:hAnsi="等线(中文正文)" w:cs="等线(中文正文)" w:eastAsia="等线(中文正文)"/>
          <w:b w:val="false"/>
          <w:i w:val="false"/>
          <w:sz w:val="20"/>
        </w:rPr>
        <w:t/>
      </w:r>
    </w:p>
    <w:p>
      <w:pPr>
        <w:pStyle w:val="ab"/>
      </w:pPr>
      <w:r>
        <w:t>发言人1 问：国电电力的估值和潜在表现如何？</w:t>
      </w:r>
    </w:p>
    <w:p>
      <w:r>
        <w:rPr>
          <w:rFonts w:ascii="等线(中文正文)" w:hAnsi="等线(中文正文)" w:cs="等线(中文正文)" w:eastAsia="等线(中文正文)"/>
          <w:b w:val="false"/>
          <w:i w:val="false"/>
          <w:sz w:val="20"/>
        </w:rPr>
        <w:t>发言人1 答：国电电力具有一定的绝对收益空间，尤其是在一年以上的投资期限内，有望实现30%至40%的确定性收益。水电业务的装机投产带来业绩翻倍增长，预计2025年水泥板块规模利润可达16亿，今年约为18至20亿，明年有望超过30亿。此外，公司还承诺未来三年分红不低于50%，股息率较高，且股价有望在市值接近千亿时获得较大提升。</w:t>
      </w:r>
    </w:p>
    <w:p>
      <w:r>
        <w:rPr>
          <w:rFonts w:ascii="等线(中文正文)" w:hAnsi="等线(中文正文)" w:cs="等线(中文正文)" w:eastAsia="等线(中文正文)"/>
          <w:b w:val="false"/>
          <w:i w:val="false"/>
          <w:sz w:val="20"/>
        </w:rPr>
        <w:t/>
      </w:r>
    </w:p>
    <w:p>
      <w:pPr>
        <w:pStyle w:val="ab"/>
      </w:pPr>
      <w:r>
        <w:t>发言人1 问：国电电力市值增长的动力是什么？</w:t>
      </w:r>
    </w:p>
    <w:p>
      <w:r>
        <w:rPr>
          <w:rFonts w:ascii="等线(中文正文)" w:hAnsi="等线(中文正文)" w:cs="等线(中文正文)" w:eastAsia="等线(中文正文)"/>
          <w:b w:val="false"/>
          <w:i w:val="false"/>
          <w:sz w:val="20"/>
        </w:rPr>
        <w:t>发言人1 答：国电电力市值增长动力一方面来自于火电业务在煤炭价格上涨周期下的业绩修复和煤电联营模式下的盈利稳定性增强；另一方面则是水电业务的装机容量大幅增加，特别是龙头水库的投产将极大提高下游水库的发电量，从而显著提升整体业绩。</w:t>
      </w:r>
    </w:p>
    <w:p>
      <w:r>
        <w:rPr>
          <w:rFonts w:ascii="等线(中文正文)" w:hAnsi="等线(中文正文)" w:cs="等线(中文正文)" w:eastAsia="等线(中文正文)"/>
          <w:b w:val="false"/>
          <w:i w:val="false"/>
          <w:sz w:val="20"/>
        </w:rPr>
        <w:t/>
      </w:r>
    </w:p>
    <w:p>
      <w:pPr>
        <w:pStyle w:val="ab"/>
      </w:pPr>
      <w:r>
        <w:t>发言人1 问：嘉泽新能源的市值和未来利润预期如何？</w:t>
      </w:r>
    </w:p>
    <w:p>
      <w:r>
        <w:rPr>
          <w:rFonts w:ascii="等线(中文正文)" w:hAnsi="等线(中文正文)" w:cs="等线(中文正文)" w:eastAsia="等线(中文正文)"/>
          <w:b w:val="false"/>
          <w:i w:val="false"/>
          <w:sz w:val="20"/>
        </w:rPr>
        <w:t>发言人1 答：嘉泽新能源当前市值150亿左右，公司主要业务是风电，今年预计有七八倍的利润，明年后年利润可达十亿。其主营业务的价值应该能够支撑到130亿至140亿市值。</w:t>
      </w:r>
    </w:p>
    <w:p>
      <w:r>
        <w:rPr>
          <w:rFonts w:ascii="等线(中文正文)" w:hAnsi="等线(中文正文)" w:cs="等线(中文正文)" w:eastAsia="等线(中文正文)"/>
          <w:b w:val="false"/>
          <w:i w:val="false"/>
          <w:sz w:val="20"/>
        </w:rPr>
        <w:t/>
      </w:r>
    </w:p>
    <w:p>
      <w:pPr>
        <w:pStyle w:val="ab"/>
      </w:pPr>
      <w:r>
        <w:t>发言人1 问：嘉泽新能源项目何时能进入验证阶段？</w:t>
      </w:r>
    </w:p>
    <w:p>
      <w:r>
        <w:rPr>
          <w:rFonts w:ascii="等线(中文正文)" w:hAnsi="等线(中文正文)" w:cs="等线(中文正文)" w:eastAsia="等线(中文正文)"/>
          <w:b w:val="false"/>
          <w:i w:val="false"/>
          <w:sz w:val="20"/>
        </w:rPr>
        <w:t>发言人1 答：嘉泽新能源目前有两个项目，一个30万吨和一个3万吨产能的生产线。其中3万吨产能的生产线预计在今年8月底实现国产并开始量产，从而在9月份接受市场验证。</w:t>
      </w:r>
    </w:p>
    <w:p>
      <w:r>
        <w:rPr>
          <w:rFonts w:ascii="等线(中文正文)" w:hAnsi="等线(中文正文)" w:cs="等线(中文正文)" w:eastAsia="等线(中文正文)"/>
          <w:b w:val="false"/>
          <w:i w:val="false"/>
          <w:sz w:val="20"/>
        </w:rPr>
        <w:t/>
      </w:r>
    </w:p>
    <w:p>
      <w:pPr>
        <w:pStyle w:val="ab"/>
      </w:pPr>
      <w:r>
        <w:t>发言人1 问：嘉泽新能源公司内部对项目的态度及行动如何体现？</w:t>
      </w:r>
    </w:p>
    <w:p>
      <w:r>
        <w:rPr>
          <w:rFonts w:ascii="等线(中文正文)" w:hAnsi="等线(中文正文)" w:cs="等线(中文正文)" w:eastAsia="等线(中文正文)"/>
          <w:b w:val="false"/>
          <w:i w:val="false"/>
          <w:sz w:val="20"/>
        </w:rPr>
        <w:t>发言人1 答：公司老板对项目非常有信心，去年9月份以个人名义通过股权质押融资12亿元认购了上市公司的定增股票，且这些股票要在明年4月份才解禁。此外，嘉泽新能源的高管团队在今年6月-7月间计划引入战略投资者，并已确认浙江高管团队认购了项目10%的股权，显示出对公司项目的坚定支持。</w:t>
      </w:r>
    </w:p>
    <w:p>
      <w:r>
        <w:rPr>
          <w:rFonts w:ascii="等线(中文正文)" w:hAnsi="等线(中文正文)" w:cs="等线(中文正文)" w:eastAsia="等线(中文正文)"/>
          <w:b w:val="false"/>
          <w:i w:val="false"/>
          <w:sz w:val="20"/>
        </w:rPr>
        <w:t/>
      </w:r>
    </w:p>
    <w:p>
      <w:pPr>
        <w:pStyle w:val="ab"/>
      </w:pPr>
      <w:r>
        <w:t>发言人1 问：行业内外对嘉泽新能源项目的看法及潜在合作情况怎样？</w:t>
      </w:r>
    </w:p>
    <w:p>
      <w:r>
        <w:rPr>
          <w:rFonts w:ascii="等线(中文正文)" w:hAnsi="等线(中文正文)" w:cs="等线(中文正文)" w:eastAsia="等线(中文正文)"/>
          <w:b w:val="false"/>
          <w:i w:val="false"/>
          <w:sz w:val="20"/>
        </w:rPr>
        <w:t>发言人1 答：行业内，包括中航油、南航资本、国航资本等在内的产业资本对嘉泽新能源项目表现出浓厚兴趣，并视其为优质产能的投资机会。若8月份项目成功投产，这些大型资本很可能会参与投资。如果获得这些专业产业资本的支持，将在下半年或明年带来可观利润，尤其是30万吨项目的投产预计能带来七八亿的利润。</w:t>
      </w:r>
    </w:p>
    <w:p>
      <w:r>
        <w:rPr>
          <w:rFonts w:ascii="等线(中文正文)" w:hAnsi="等线(中文正文)" w:cs="等线(中文正文)" w:eastAsia="等线(中文正文)"/>
          <w:b w:val="false"/>
          <w:i w:val="false"/>
          <w:sz w:val="20"/>
        </w:rPr>
        <w:t/>
      </w:r>
    </w:p>
    <w:p>
      <w:pPr>
        <w:pStyle w:val="ab"/>
      </w:pPr>
      <w:r>
        <w:t>发言人1 问：嘉泽新能源项目若成功，将如何影响公司发展？</w:t>
      </w:r>
    </w:p>
    <w:p>
      <w:r>
        <w:rPr>
          <w:rFonts w:ascii="等线(中文正文)" w:hAnsi="等线(中文正文)" w:cs="等线(中文正文)" w:eastAsia="等线(中文正文)"/>
          <w:b w:val="false"/>
          <w:i w:val="false"/>
          <w:sz w:val="20"/>
        </w:rPr>
        <w:t>发言人1 答：若项目成功，公司将有望转型为轻资产化的科技公司或合成生物学公司，利用专利工艺生产低成本的绿色甲醇，替代传统的气化炉工艺，大幅降低生产成本并扩大市场占有率。同时，项目涉及的秸秆资源利用问题若能有效解决，将为公司带来巨大的市场机遇。</w:t>
      </w:r>
    </w:p>
    <w:p>
      <w:r>
        <w:rPr>
          <w:rFonts w:ascii="等线(中文正文)" w:hAnsi="等线(中文正文)" w:cs="等线(中文正文)" w:eastAsia="等线(中文正文)"/>
          <w:b w:val="false"/>
          <w:i w:val="false"/>
          <w:sz w:val="20"/>
        </w:rPr>
        <w:t/>
      </w:r>
    </w:p>
    <w:p>
      <w:pPr>
        <w:pStyle w:val="ab"/>
      </w:pPr>
      <w:r>
        <w:t>发言人1 问：八月底投产的煤厂产能是多少？</w:t>
      </w:r>
    </w:p>
    <w:p>
      <w:r>
        <w:rPr>
          <w:rFonts w:ascii="等线(中文正文)" w:hAnsi="等线(中文正文)" w:cs="等线(中文正文)" w:eastAsia="等线(中文正文)"/>
          <w:b w:val="false"/>
          <w:i w:val="false"/>
          <w:sz w:val="20"/>
        </w:rPr>
        <w:t>发言人1 答：煤厂的产能大概是3000吨到4000吨，并且有扩展潜力。</w:t>
      </w:r>
    </w:p>
    <w:p>
      <w:r>
        <w:rPr>
          <w:rFonts w:ascii="等线(中文正文)" w:hAnsi="等线(中文正文)" w:cs="等线(中文正文)" w:eastAsia="等线(中文正文)"/>
          <w:b w:val="false"/>
          <w:i w:val="false"/>
          <w:sz w:val="20"/>
        </w:rPr>
        <w:t/>
      </w:r>
    </w:p>
    <w:p>
      <w:pPr>
        <w:pStyle w:val="ab"/>
      </w:pPr>
      <w:r>
        <w:t>发言人1 问：阿尔法汇成项目的现状如何？</w:t>
      </w:r>
    </w:p>
    <w:p>
      <w:r>
        <w:rPr>
          <w:rFonts w:ascii="等线(中文正文)" w:hAnsi="等线(中文正文)" w:cs="等线(中文正文)" w:eastAsia="等线(中文正文)"/>
          <w:b w:val="false"/>
          <w:i w:val="false"/>
          <w:sz w:val="20"/>
        </w:rPr>
        <w:t>发言人1 答：阿尔法汇成项目去年投产后，由于技术调整和原材料缺乏均一性等问题，至今未能达到预期水平。</w:t>
      </w:r>
    </w:p>
    <w:p>
      <w:r>
        <w:rPr>
          <w:rFonts w:ascii="等线(中文正文)" w:hAnsi="等线(中文正文)" w:cs="等线(中文正文)" w:eastAsia="等线(中文正文)"/>
          <w:b w:val="false"/>
          <w:i w:val="false"/>
          <w:sz w:val="20"/>
        </w:rPr>
        <w:t/>
      </w:r>
    </w:p>
    <w:p>
      <w:pPr>
        <w:pStyle w:val="ab"/>
      </w:pPr>
      <w:r>
        <w:t>发言人1 问：汇成项目未能达到预期的原因是什么？</w:t>
      </w:r>
    </w:p>
    <w:p>
      <w:r>
        <w:rPr>
          <w:rFonts w:ascii="等线(中文正文)" w:hAnsi="等线(中文正文)" w:cs="等线(中文正文)" w:eastAsia="等线(中文正文)"/>
          <w:b w:val="false"/>
          <w:i w:val="false"/>
          <w:sz w:val="20"/>
        </w:rPr>
        <w:t>发言人1 答：主要原因是原材料回收来的废塑料成分不一致，导致装置无法连续生产。</w:t>
      </w:r>
    </w:p>
    <w:p>
      <w:r>
        <w:rPr>
          <w:rFonts w:ascii="等线(中文正文)" w:hAnsi="等线(中文正文)" w:cs="等线(中文正文)" w:eastAsia="等线(中文正文)"/>
          <w:b w:val="false"/>
          <w:i w:val="false"/>
          <w:sz w:val="20"/>
        </w:rPr>
        <w:t/>
      </w:r>
    </w:p>
    <w:p>
      <w:pPr>
        <w:pStyle w:val="ab"/>
      </w:pPr>
      <w:r>
        <w:t>发言人1 问：对于这个项目，您觉得它的成功率如何？</w:t>
      </w:r>
    </w:p>
    <w:p>
      <w:r>
        <w:rPr>
          <w:rFonts w:ascii="等线(中文正文)" w:hAnsi="等线(中文正文)" w:cs="等线(中文正文)" w:eastAsia="等线(中文正文)"/>
          <w:b w:val="false"/>
          <w:i w:val="false"/>
          <w:sz w:val="20"/>
        </w:rPr>
        <w:t>发言人1 答：我认为这个项目有百分之八九十的成功率，但其他人可能认为只有四五十的成功率，关键在于成本控制和连续生产的能力。</w:t>
      </w:r>
    </w:p>
    <w:p>
      <w:r>
        <w:rPr>
          <w:rFonts w:ascii="等线(中文正文)" w:hAnsi="等线(中文正文)" w:cs="等线(中文正文)" w:eastAsia="等线(中文正文)"/>
          <w:b w:val="false"/>
          <w:i w:val="false"/>
          <w:sz w:val="20"/>
        </w:rPr>
        <w:t/>
      </w:r>
    </w:p>
    <w:p>
      <w:pPr>
        <w:pStyle w:val="ab"/>
      </w:pPr>
      <w:r>
        <w:t>发言人1 问：龙力生物为何退市？</w:t>
      </w:r>
    </w:p>
    <w:p>
      <w:r>
        <w:rPr>
          <w:rFonts w:ascii="等线(中文正文)" w:hAnsi="等线(中文正文)" w:cs="等线(中文正文)" w:eastAsia="等线(中文正文)"/>
          <w:b w:val="false"/>
          <w:i w:val="false"/>
          <w:sz w:val="20"/>
        </w:rPr>
        <w:t>发言人1 答：龙力生物退市是因为原材料成本（煤）价格上涨，加上国家补贴政策变化等因素，最终导致财务压力增大而退市。</w:t>
      </w:r>
    </w:p>
    <w:p>
      <w:r>
        <w:rPr>
          <w:rFonts w:ascii="等线(中文正文)" w:hAnsi="等线(中文正文)" w:cs="等线(中文正文)" w:eastAsia="等线(中文正文)"/>
          <w:b w:val="false"/>
          <w:i w:val="false"/>
          <w:sz w:val="20"/>
        </w:rPr>
        <w:t/>
      </w:r>
    </w:p>
    <w:p>
      <w:pPr>
        <w:pStyle w:val="ab"/>
      </w:pPr>
      <w:r>
        <w:t>发言人1 问：纤维素乙醇与玉米乙醇的竞争关系如何？</w:t>
      </w:r>
    </w:p>
    <w:p>
      <w:r>
        <w:rPr>
          <w:rFonts w:ascii="等线(中文正文)" w:hAnsi="等线(中文正文)" w:cs="等线(中文正文)" w:eastAsia="等线(中文正文)"/>
          <w:b w:val="false"/>
          <w:i w:val="false"/>
          <w:sz w:val="20"/>
        </w:rPr>
        <w:t>发言人1 答：纤维素乙醇与玉米乙醇都是生产乙醇的产品，但在某些年份，玉米乙醇价格因玉米价格大跌而低于纤维素乙醇，同时国家对纤维素乙醇的补贴政策调整也对其造成了影响。</w:t>
      </w:r>
    </w:p>
    <w:p>
      <w:r>
        <w:rPr>
          <w:rFonts w:ascii="等线(中文正文)" w:hAnsi="等线(中文正文)" w:cs="等线(中文正文)" w:eastAsia="等线(中文正文)"/>
          <w:b w:val="false"/>
          <w:i w:val="false"/>
          <w:sz w:val="20"/>
        </w:rPr>
        <w:t/>
      </w:r>
    </w:p>
    <w:p>
      <w:pPr>
        <w:pStyle w:val="ab"/>
      </w:pPr>
      <w:r>
        <w:t>发言人1 问：桂冠电力未来的看点是什么？</w:t>
      </w:r>
    </w:p>
    <w:p>
      <w:r>
        <w:rPr>
          <w:rFonts w:ascii="等线(中文正文)" w:hAnsi="等线(中文正文)" w:cs="等线(中文正文)" w:eastAsia="等线(中文正文)"/>
          <w:b w:val="false"/>
          <w:i w:val="false"/>
          <w:sz w:val="20"/>
        </w:rPr>
        <w:t>发言人1 答：桂冠电力未来的看点在于西藏项目的成长性和扩张潜力，以及水电站内部空间利用的可能性，尽管目前尚需新的催化剂推动股价进一步上涨。</w:t>
      </w:r>
    </w:p>
    <w:p>
      <w:r>
        <w:rPr>
          <w:rFonts w:ascii="等线(中文正文)" w:hAnsi="等线(中文正文)" w:cs="等线(中文正文)" w:eastAsia="等线(中文正文)"/>
          <w:b w:val="false"/>
          <w:i w:val="false"/>
          <w:sz w:val="20"/>
        </w:rPr>
        <w:t/>
      </w:r>
    </w:p>
    <w:p>
      <w:pPr>
        <w:pStyle w:val="ab"/>
      </w:pPr>
      <w:r>
        <w:t>发言人1 问：水电站内部空间用于部署服务器的设想能否实现？</w:t>
      </w:r>
    </w:p>
    <w:p>
      <w:r>
        <w:rPr>
          <w:rFonts w:ascii="等线(中文正文)" w:hAnsi="等线(中文正文)" w:cs="等线(中文正文)" w:eastAsia="等线(中文正文)"/>
          <w:b w:val="false"/>
          <w:i w:val="false"/>
          <w:sz w:val="20"/>
        </w:rPr>
        <w:t>发言人1 答：虽然水电站内部空间大、气温低，适合部署服务器以减少散热功耗，但由于国家政策限制，水电站目前不允许直连新能源发电，但可以在周围建设风电光伏为其供电，通过资源协同降低成本并提高收益。</w:t>
      </w:r>
    </w:p>
    <w:p>
      <w:r>
        <w:rPr>
          <w:rFonts w:ascii="等线(中文正文)" w:hAnsi="等线(中文正文)" w:cs="等线(中文正文)" w:eastAsia="等线(中文正文)"/>
          <w:b w:val="false"/>
          <w:i w:val="false"/>
          <w:sz w:val="20"/>
        </w:rPr>
        <w:t/>
      </w:r>
    </w:p>
    <w:p>
      <w:pPr>
        <w:pStyle w:val="ab"/>
      </w:pPr>
      <w:r>
        <w:t>发言人1 问：中国高速传动的价值和现状如何？</w:t>
      </w:r>
    </w:p>
    <w:p>
      <w:r>
        <w:rPr>
          <w:rFonts w:ascii="等线(中文正文)" w:hAnsi="等线(中文正文)" w:cs="等线(中文正文)" w:eastAsia="等线(中文正文)"/>
          <w:b w:val="false"/>
          <w:i w:val="false"/>
          <w:sz w:val="20"/>
        </w:rPr>
        <w:t>发言人1 答：中国高速传动是风电齿轮箱领域的领军企业，拥有较高的市场份额和技术优势，但目前市值仅为30亿，存在较大增长潜力。该公司曾因内部管理问题影响利润表现，但现在大股东变更，有望改善管理和释放利润。</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2026-06-07T03:28:57Z</dcterms:created>
  <dc:creator>Apache POI</dc:creator>
</cp:coreProperties>
</file>