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新关税对投资者意味着什么｜摩根士丹利专栏 260606_原文</w:t>
      </w:r>
    </w:p>
    <w:p>
      <w:pPr>
        <w:jc w:val="center"/>
      </w:pPr>
      <w:r>
        <w:rPr>
          <w:rFonts w:ascii="等线(中文正文)" w:hAnsi="等线(中文正文)" w:cs="等线(中文正文)" w:eastAsia="等线(中文正文)"/>
          <w:b w:val="false"/>
          <w:i w:val="false"/>
          <w:sz w:val="20"/>
        </w:rPr>
        <w:t>2026年06月07日 11:22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Welcome to thoughts in the market. And I amos vitor, had a public policy research for Morgan standing today. I'll be talking about how investors or should be digesting the latest terf headlines and what they could mean for the broader economic and market outlook.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00:14</w:t>
      </w:r>
    </w:p>
    <w:p>
      <w:r>
        <w:rPr>
          <w:rFonts w:ascii="等线(中文正文)" w:hAnsi="等线(中文正文)" w:cs="等线(中文正文)" w:eastAsia="等线(中文正文)"/>
          <w:b w:val="false"/>
          <w:i w:val="false"/>
          <w:sz w:val="20"/>
        </w:rPr>
        <w:t xml:space="preserve">It's friday, june faith at ten am in new york. Terms are back in focus as the U. S. Administration has proposed new levees following section three one investigations into more than sixty of our trading partners. At the same time,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S, M, C, negotiations appeared have begun in earnest, with recent headlines focused on autos, including the possibility of raising regional content requirements for vehicles and auto parts. Now at first gLance, these developments sound like a meaningful escalates and trade policy, but we think these headlines are best understood as a continuation of the existing tera regime rather than a new and more disruptive face. Let's start with section three or one listers.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May recalled that the administration replaced the eba tarrifs with section one twenty two four supreme course decision back in february. However, that was done under a temporary authority that explores in the end of delight, it's been our view that as we approach that deadline, the administration would seek to replace the existing regime under a new authority. The conclusion of the section three or one investigations请关注公众号思维纪要社，更多纪要请加V西安20210130。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 xml:space="preserve">Is really a step in that direction or said differently, a continuation of existing policy. We see the administration preserving the current terrifies me come july, but without a larger inflation or growth shock. The second issue is US, M,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 xml:space="preserve">A. Raising regional content rules may be part of the negotiation now, and those changes could create sector level friction. Similarly, we think it's possible we see escalation ahead of the july deadline as all three countries work to improve the existing trade deal.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 xml:space="preserve">Now that being said, we're so constructive on the longer term trade alignment between the U. S. Mexico and canada.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 xml:space="preserve">And we see structural and procedural constrains that are going to limit the downside rest to something like a potential withdrawal from the agreement. We still expect the U. S, M,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 xml:space="preserve">A. Carve out to remain in place even for section three, one goods on a range of training partners. That's because we think the administration sees value and maintaining supply chain integration within north amErica across the number of sectors.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 xml:space="preserve">In general, we actually think the recent pattern on tabs has been toward less, not more, trade pressure at the margin. Recent months have come with several carvels exemptions and delays on blood based and sector terrace s. That suggests that the administration is still sensitive to the downstream cost impact of terrifying and of course, affordability matters politically heading into the matter m elections in november.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 xml:space="preserve">That view also fits with our broader U. S. Economics outlook, our economists continue to see a relatively beni macro o backdrop. Growth is expected to remain trend like with consumer spending slowing but not collapsing and strong AI let bacs offsetting some of the drug from higher energy Prices and policy uncertainty on inflation terrify main part of the story. But much of the past there appears to be already in the data that pairs of the more constructive outlook for equity markets as well as our status, they are see a strong earnings story supported by things like positive Operating leverage, AI adoption, improving pricing power and a broader out in earnings growth. So the key message for investors is this Terry policy is so noisy and IT will remain a source of headline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 xml:space="preserve">But in our base case, the administration is moving toward a more durable version of the current terrifies me, not a materially more disruptive or restrict of one section through a one replaces section one to twenty two U, S, M, C, A carved stay in place and selective exemptions continue where the affordability or supply chain costs are too high. Thanks for using. As a reminder, if you enjoy thought in the market, please take a moment to write, review us where you listen and share the podcast with a friend or colleague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 xml:space="preserve">The proceeding content is informational only and based on information available when created. IT is not an offer or solicated, nor is attacks or legal advice. IT does not consider your financial circumstances and objectives and may not be suitable for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2026-06-07T03:29:02Z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E6636BB100BBAFBB4581D91E6DDB8044CA84BE0CE37DDDE9DACD463F44DFE57A2E0B9DEC415FE7D4A8165752CE1F40C09F65C4C3FB2B283C56BBDC7D5F0DCEB84137935</vt:lpwstr>
  </property>
</Properties>
</file>