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618大促中期销售情况交流 260603_导读</w:t>
      </w:r>
    </w:p>
    <w:p>
      <w:pPr>
        <w:pStyle w:val="a0"/>
        <w:jc w:val="center"/>
      </w:pPr>
      <w:r>
        <w:t>2026年06月06日 13:47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618大促 天猫 美妆 国补 增速 国际品牌 国货品牌 价格带 用户心智 高客单 腰部达人 搜索和信息流 电波 投流税 增值税 货币化率 高返点 利润共赢 珀莱雅 可复美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本次讨论重点围绕国信零售参与的618大促中期销售情况，特别关注了天猫美妆行业的表现。专家指出，美妆行业在618期间销售超出预期，增速明显，得益于平台调整的活动节奏、多样化的补贴策略，以及缩短销售周期、现货与预售并行等措施，整体销售增长超过30%。国补政策对推动美妆板块增速起到了积极作用，尤其是国货品牌的强劲增长势头，与外资品牌的市场策略调整形成对比。此外，讨论还涉及了抖音平台上美妆类目的表现，强调了价格策略和内容营销在国货品牌策略调整中的重要性。整体而言，618大促期间美妆行业竞争激烈，平台与品牌通过多种策略促进销售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天猫618美妆行业销售中期分析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天猫618大促美妆行业表现超出预期，增速高于往年，活动节奏及补贴策略调整明显，整体C股提升30以上，平台以真金白银展现价格竞争决心。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02:57 美妆板块增速分析与策略调整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深入探讨了美妆板块今年增速良好的原因，包括缩短周期、现货与预售同步销售、叠加优惠等策略。特别提到国补政策的升级，美妆品牌获得的补贴提升，以及商户在追求业绩与利润平衡中的理性选择。此外，讨论了头部主播坑位费上涨及退货率对商户成本的影响，以及平台与商家的利润共赢模式。整体展现了美妆板块在活动期间的业绩表现及商户策略调整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05:51 美妆行业国补政策解析及市场影响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介绍了美妆行业首次实施的国补政策，涵盖城市消费券和平台自补两种形式，补贴率从6%至20%不等，尤其利好国货品牌，如巨子和珀莱雅，提升销售额。国补政策拓宽了品类，强化了平台用户心智，同时优化了成本管控，对整体业绩贡献显著，体现了平台与商户合作的新模式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4"/>
        </w:numPr>
      </w:pPr>
      <w:r>
        <w:t>10:11 国补与平台补贴策略及国货外资品牌销售对比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讨论了国补与平台补贴在美妆品牌中的分配，指出补贴力度从6%至14%不等，由平台方与品牌方按不同比例承担。同时，分析了国货与外资品牌的销售表现，指出外资品牌虽有良好增速，但国货在特定类目和促销策略下展现出显著成长潜力，预计国货后峰期将实现30%左右的增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5"/>
        </w:numPr>
      </w:pPr>
      <w:r>
        <w:t>15:50 美妆市场各价格带增速分析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分析了美妆市场不同价格带的增速变化，指出高端国货和国际品牌在高价格带表现突出，而100元以下价格带受政策影响负增长。800-1000元价格带国际二线和国货高端品牌增长稳定，300-800元价格带增速下降，100-300元价格带增速有所恢复，基础护肤和彩妆产品仍面临内卷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6"/>
        </w:numPr>
      </w:pPr>
      <w:r>
        <w:t>19:11 国货美妆品牌增速与未来战略分析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深入分析了珀莱雅、可复美、薇诺娜等国货美妆品牌的近期业绩增速，以及它们未来几个月的战略布局。珀莱雅通过新款产品放量，预计618期间表现亮眼；可复美得益于平台扶持胶原赛道，新品迭代丰富，618业绩稳定可期；薇诺娜则通过增加坑位费和电波营销，提升品牌复购率，二代领导接手后效率显著提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7"/>
        </w:numPr>
      </w:pPr>
      <w:r>
        <w:t>26:07 美妆品牌销售与增速概览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多个美妆品牌的销售业绩和增速展开，重点提及国货品牌如毛戈平、玉泽、佰草集等的高增速表现，以及外资品牌欧莱雅、雅诗兰黛的市场表现。同时，讨论了各品牌预售占比、后续活动坑位及市场预期，强调了部分品牌如翡翠的显著增速和未来市场潜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8"/>
        </w:numPr>
      </w:pPr>
      <w:r>
        <w:t>30:59 外资美妆品牌国补政策影响分析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主要讨论了多个外资美妆品牌在国补政策下的表现，包括兰蔻、欧莱雅、修丽可等品牌的业绩增速与国补参与度，指出部分品牌因主力产品无法加入国补而面临市场压力，同时强调了大单品对业绩的带动作用。专家还解释了不同时间段业绩增长的对比分析方法，强调活动期间数据的可比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9"/>
        </w:numPr>
      </w:pPr>
      <w:r>
        <w:t>34:28 2023年618抖音美妆销售趋势与特征分析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2023年618期间抖音平台美妆类目销售表现展开，指出国产美妆品牌整体GMV未降，但多数品牌同比下滑近40%。与往年相比，今年618美妆品牌广告投放减少，价格策略更为激进，头部网红和明星参与度降低。延续趋势包括内容驱动种草和国产低价策略，尤其在下沉市场表现稳定。大单品如超声棒等销量涨幅显著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0"/>
        </w:numPr>
      </w:pPr>
      <w:r>
        <w:t>39:51 2023美妆行业五大趋势分析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2023年美妆行业呈现五大趋势：国货向高端转型，外资品牌领跑；流量结构从直播转向商品卡和短视频；去除超头依赖，中央委部达人和抖音官方活动成为新渠道；价格结构哑铃化，高端产品增多，性价比提升；内容玩法创新，AI量产素材和短剧种草成为新趋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1"/>
        </w:numPr>
      </w:pPr>
      <w:r>
        <w:t>43:11 2023年618国货美妆品牌表现分析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珀莱雅、函数、毛戈平等国货美妆品牌在2023年618期间的表现。珀莱雅通过直播和会员运营取得领先，函数以短剧种草和高性价比产品实现高速增长，毛戈平则依靠达人带货和套组销售策略，三家品牌均展现出强劲的市场竞争力和创新营销手法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2"/>
        </w:numPr>
      </w:pPr>
      <w:r>
        <w:t>52:04 外资美妆品牌抖音渠道618营销策略解析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分享了外资美妆品牌如赫莲娜、海蓝之谜等在抖音618期间的营销策略与成效，指出外资品牌重头戏多集中于6月1日至18日，采取直播、商品卡等多渠道销售，赫莲娜通过降价促销、组合套装销售等策略实现高产值，展现外资品牌在抖音平台的强劲表现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3"/>
        </w:numPr>
      </w:pPr>
      <w:r>
        <w:t>56:26 欧莱雅集团618大促策略解析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详细解析了欧莱雅集团旗下品牌在618大促中的表现与策略，包括赫莲娜作为攻坚标杆的高预算投入，巴黎欧莱雅通过分层运营和低价策略提升销量，兰蔻利用礼盒装和小样吸引消费者，雅诗兰黛聚焦大单品爆款销售，以及YSL通过专业化妆师和礼盒包装强化品牌影响力。整体策略反映了品牌在618期间的市场布局与营销创新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14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主持的会议主要聚焦于国信零售及每户618大促的中期销售情况，特别强调了国信证券对投资机构的警告，提醒会议内容非投资建议，并强调了保密要求。他作为国信人寿美货分析师，预告了天猫专家将分享美妆行业618大促情况。会议重点讨论了天猫平台美妆行业销售超出预期，特别提到开场增速高于往年，活动节奏调整、补贴加码及国补政策的推动作用。讨论了珀莱雅、函数、毛戈平、赫莲娜等品牌的具体销售策略、价格带及市场定位，分析了外资品牌与国货品牌在大促中的表现及特点。最后，他强调了抖音平台上美妆销售情况，指出国货品牌面临的挑战及外资品牌的高端化策略。他感谢参与会议的专家和听众，期待后续更多更新，整体提供了对618大促销售情况、市场策略及趋势的深入讨论和市场洞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问答回顾</w:t>
      </w:r>
    </w:p>
    <w:p>
      <w:pPr>
        <w:pStyle w:val="ab"/>
      </w:pPr>
      <w:r>
        <w:t>发言人1 问：目前618大促中期，天猫美妆行业的整体表现如何？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答：今年天猫美妆的整体综合表现超出平台预期，增速比往年更高。从5月21号至6月23号左右，美妆板块的CUV增长了30%以上，这体现了平台以真金白银的价格竞争的决心。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问：今年美妆板块增速良好的主要原因是什么？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答：今年增速良好的主要原因有两个方面：一是周期缩短导致爆发力更强；二是开场现货和预售同时销售，并且在特定时间点如5月27号至28号之间，叠加立减和满减优惠，有效维持了增速。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问：国补政策对于美妆行业的影响是什么？目前美妆板块的增速情况以及国补的持续性如何？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国补政策今年将十个品类扩展到32个，美妆品牌获得了6%至14%左右的价格提升。结合其他优惠券，单品价格可做到8折至87折左右，这都显著推动了美妆板块的增速表现。目前全周期目标接近一半，增速有所放缓，但头部商家通过绑定阿里平台获得季度和年度高返点，实现商家与平台利润共赢。同时，国补的品类拓宽，尤其是针对高线城市女性用户的补贴，强化了平台用户心智，并利好生活日用品的销售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问：国补在美妆行业的具体分配情况如何？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国补在美妆行业的分配中，国货品牌逐渐占据主导，尤其在中高端市场表现出业绩增长。不同坑位类型有不同的补贴比例，如城市优惠券可能为6%，而阿里自补可能达到12%到14%。国补的执行是以平台和商户共同承担成本的形式进行合作营销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问：国补在业绩增长和成本管控上起到的作用是什么？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答：国补对整体业绩和成本管控起到了优质的作用，例如天猫超市的佣金在13到14之间，如果活动优惠在6%以下，商户无需承担物流发货、包装仓储和部分推广费用，整体运营成本较低，投入回报相对优秀。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问：国补是否可以视为品牌方和平台方共同补贴的来源？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答：是的，国补可以理解为品牌方和平台方共同处理的补贴来源，平台方会根据坑位的不同，承担相应的补贴成本，同时也会有与商户合作的合补方式，以及佣金和其他营销资源的互补。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问：能否分享一下外资品牌的销售情况以及与国货品牌的对比？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好的，从5月21号至6月2号这个时间段，外资品牌（国际品牌）在美妆领域的销售额约为171亿，同比增速约为15.9%。而国货品牌同期销售额接近60亿，同比增长约25家总数。在平销期时，淘系平台确实对外资品牌有一定的扶持政策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问：为什么这次大促要补国货，并且国货和外资品牌有何不同之处？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补国货是因为外资品牌在去年受到一些因素影响，如价格控制不稳定、退货率上升以及部分品牌减少与达人的合作等。而国货品牌在今年得到了一定的成长，在特定类目如肌敏修护、功能性护肤等板块得到扶持，加上时间上的爆发力，预计国货品牌后峰期增速可能达到30%左右，而外资品牌目前处于下坡阶段，但也能保持约10%的增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问：外资品牌和国货品牌在不同价格带的表现有何差异？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在高端市场（1000以上价格带），国际大牌如SK2、修丽可、海蓝之谜等表现出强劲增长，同时国货品牌如珀莱雅、韵白等系列也在此价格带取得爆发性增长，增速比外资品牌更高。而在大众市场（100-300价格带），国货头部品牌和国际大众品牌增速相比平销期有所恢复，但竞争依然激烈。此外，低客单价市场（100以下价格带）因电商平台政策限制价格战，导致该价格带出现负增长，而高客单价市场则表现较好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问：目前有哪些国货品牌表现出较快增速，以及它们的战略规划如何？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珀莱雅目前销售额为9.11亿，同比增速27.1%，其中国补对其增长贡献较大。可复美则以5.28亿销售额和23.36%增速紧随其后，虽然第一天增速未达预期，但去年整体后半年相比现在有所掉量，所以当前增速显著。此外，品牌在6月份将有一些营销活动以提升品牌权重。另一些国货品牌如菲诺娜也表现出较强增长势头，同比增速达到38.43%。这些品牌的战略规划包括但不限于新品发布、市场教育以及与头部达人的合作等，整体来看，头部达人在品牌推广中的作用越来越重要，而品牌自身也正通过精细化运营提升毛利率和净利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问：薇诺娜今年的整体表现如何？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今年薇诺娜内部运作更加高效，主品牌贝泰尼和新品牌艾克曼均实现高增速。品牌方对毛利率有较高诉求，今年的坑位数量大幅增加，导致第一天销售额大幅增长。此外，薇诺娜两个品牌分别由单独负责人对接平台，提升了效率，二代领导接手了内容、技术、产品等板块的话语权，并通过全域管理能力，实现了整体运营效率的提升。其中，爆款产品如311屏障修复次抛以及去年的老款如清透防晒乳、特护冻干面膜等都对业绩有显著提升作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问：国货品牌整体表现怎样？外资品牌在618期间的表现如何？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国货品牌中，毛戈平以2.66亿、同比增速46.3表现出色；福瑞达旗下的瑷尔博士达到0.99亿，同比增速2.35，但后期有国补坑位补充；颐莲则达到0.26亿，同比增速28.7。巨子生物旗下的可丽金达到1.35亿，同比增速29.2，且后续有头部坑位支撑；博雅旗下的彩棠达到1.42亿，增速62.9，前期坑位较多，后期坑位减少；上海家化旗下的玉泽达到0.357亿，同比增速31.4，佰草集达到0.27亿，同比增速48.4，后续有主力坑位待释放。此外，六神、完美、一飞单、佩尔克乔、尚美、自然堂、日本、林新轩、克兰尼、达尔夫、伏尔加、芮城翡翠等品牌也均有不同程度的增长或活动规划。外资品牌中，兰蔻7.62亿，同比增速24.5；欧莱雅7.34亿，同比增速14.6；修丽可6.91亿，同比增速35.7；雅诗兰黛5.64亿，同比增速14.6；资生堂5.33亿，同比增速18.9；赫莲娜4.35亿，同比增速20.1；海蓝之谜5.42亿，同比增速21.5；娇韵诗5.11亿，同比增速16.9；HR赫莲娜4.35亿，同比增速20.1。这些品牌虽受国补政策影响及市场竞争加剧，但整体仍保持相对稳定的增长态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问：到目前为止，抖音平台上美妆类目的整体表现如何？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截至5月28日，抖音平台上美妆类目GMV为306.47亿，相较于去年618期间有所下降。今年618期间，国产美妆品牌同比增速普遍放缓，甚至出现40%以上的品牌同比下降情况，但美妆整体GMV并未下降。今年美妆品牌在618期间并未大规模投放广告，头部网红和明星带货现象减少，更多品牌选择在打折上做文章，导致整体价格比去年更低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问：在美妆行业，2023年到2025年有哪些延续下来的优势？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答：2023年到2025年延续下来的优势主要包括内容驱动种草，通过达人和优质内容带动美妆核心产品的短视频测评与种草。此外，国产大众价位品牌会继续执行低价策略以保持下沉市场的优势。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问：2023年美妆行业有哪些新的趋势变化？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新趋势主要有五个方面：一是品牌格局变化，国际大牌在抖音等平台上的表现更为突出，而传统国货品牌依赖度下降；二是流量结构变化，直播流量减少，商品卡、短视频成为主要冲量方式；三是达人结构变化，超头主播影响力下滑，转而依靠中央委部达人和以直播为主的营销活动；四是价格结构呈现哑铃型深化，高端及低价产品市场份额增大；五是内容新玩法，许多品牌开始效仿之前的成功案例，利用种草、短剧等形式进行内容营销，并采用AI素材量产等方式提升内容质量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问：国货美妆品牌在今年618期间的表现情况如何？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国货美妆品牌在今年618期间整体表现优于国际大牌，集中在5月21号至6月1号期间爆发。其中，珀莱雅作为国货彩妆领域的榜首，在5月25号到5月20号开门红阶段，其抖音护肤榜排名超过HR和海蓝之谜，成为国货第一品牌，销售额约为六七个亿。珀莱雅通过直播品牌加码商城运营，以及与腰尾部达人合作种草的方式，实现断层式领先。其成交结构中，直播间占比52%，商城量占比31%。珀莱雅采取分层运营策略，引流款、主力款和旅游款分别占据不同市场份额，并推出高端系列提升品牌形象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问：国货品牌函数在618期间的表现及其原因是什么？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函数在618期间表现强势，从5月15号到20号的开门红期间，其国货彩妆品类排名稳定并实现环比增速60%以上，GMA达到7到8亿左右。函数主打下沉市场，以大众走量产品为主，同时也推出功效款和高端系列。其王牌打法是在国货品牌中首次大规模制作都市美妆剧集，剧情可直接跳转至购买链接，短期引流效果显著。自播占比低于珀莱雅，商品团占比35%，这使得函数在货架和短视频上的成交率较高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问：在抖音渠道上，外资品牌如欧莱雅、雅诗兰黛在618期间的主要打法和表现是怎样的？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国际大牌在618期间的表现普遍较好，整体GMV（商品交易总额）同比去年上涨，其中兰蔻、海蓝之谜、雅诗兰黛等品牌涨幅较高。外资品牌的重点活动可能集中在6月1号到6月18号的冲刺期和爆发期，如赫莲娜、海蓝之谜等品牌在前五中排名靠前。外资品牌不仅在直播中有出色表现，在抖音全球购、商城及跳转等多维度都有较高销量。以赫莲娜为例，其在今年618期间产值超过8亿，通过头部主播和垂类服务达人合作，以及宣传投放，实现销售高峰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问：赫莲娜在抖音上的具体表现和策略是什么？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赫莲娜在抖音上的表现强劲，尤其是在今年618期间，通过与投资软件合作带货，于开门红期间取得全平台单品牌销售额第一的成绩，单日产值达到约8亿，其中黑绷带系列单品首日销售额破8000万。赫莲娜的价格带均值在2800到3200元左右，常做组合套装以吸引消费者。赫莲娜在618期间的价格策略有所调整，折扣幅度约7.5折，相比往年有所降低。内容打法上，直播占4成，商品卡也占4成，主要聚焦复购用户搜索商品。此外，赫莲娜还通过投放宣传骨干和垂类服务达人视频进行宣传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问：欧莱雅旗下的巴黎欧莱雅在618期间的销售情况及策略如何？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巴黎欧莱雅在护肤品整体销售中表现不俗，尽管排名第六第七，但其5月21日至6月1日的销售额约为5到6亿。巴黎欧莱雅依靠平台优惠券策略，环比涨幅约四成，其中低价产品如复颜水乳和玻尿酸面膜销量占六成。该品牌采取分层运营，不同价格区间的产品均有销售，并且保留了头部主播宣传，同时加大了商城低价策略的比重，超头部直播占比达36%，整体打法上以打破为主，大量往商城转移销售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问：兰蔻和雅诗兰黛在618期间的销售策略和排名情况如何？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兰蔻在护肤榜排名第四，今年618期间重点推出了礼盒装，如小黑瓶套装、猩猩全套等，主力价格带在八百多到1600元之间。兰蔻还特别上线了抖音独家的迷你盒和三支九元的中小样，门槛拉低，流量增加，内容投放比往年更多，广告投放比去年减少，但GMA同比上涨约25%至28%。而雅诗兰黛今年618排名第八到第十，主要依靠DW粉底液的开门红爆单，采取彩护肤加彩妆双线作战策略，以大单品爆款为主，如小棕瓶加原生液套装以及DW粉底液。雅诗兰黛在618期间弱化了达人带货，大量往商城转移销售，淄博占比高达44%至47%，达播带货较少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2026-06-06T05:51:04Z</dcterms:created>
  <dc:creator>Apache POI</dc:creator>
</cp:coreProperties>
</file>