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外卖专家会议 260603_导读</w:t>
      </w:r>
    </w:p>
    <w:p>
      <w:pPr>
        <w:pStyle w:val="a0"/>
        <w:jc w:val="center"/>
      </w:pPr>
      <w:r>
        <w:t>2026年06月06日 13:46</w:t>
      </w:r>
    </w:p>
    <w:p>
      <w:pPr>
        <w:pStyle w:val="a7"/>
      </w:pPr>
      <w:r>
        <w:t>关键词</w:t>
      </w:r>
    </w:p>
    <w:p>
      <w:r>
        <w:rPr>
          <w:rFonts w:ascii="等线(中文正文)" w:hAnsi="等线(中文正文)" w:cs="等线(中文正文)" w:eastAsia="等线(中文正文)"/>
          <w:b w:val="false"/>
          <w:i w:val="false"/>
          <w:sz w:val="20"/>
        </w:rPr>
        <w:t xml:space="preserve">外卖 减亏 市场份额 补贴 高客单价 优异值 运力 商家 配送 专送 众包 阿里 美团 在线率 履约时效 成本 策略 订单量 蜂鸟专送 服务商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2023年第一季度，美团外卖通过减少补贴策略有效控制了亏损，同时维持了市场份额，尽管短期内出现正常波动，但减亏成效仍在预期之内。特别值得关注的是，高客单价订单的市场份额未受补贴削减影响，反而有所提升。与阿里相比，美团在外卖市场的高客单价订单表现更优，且在运力供给、配送时效等方面具有明显优势。虽然竞争对手在追赶过程中面临巨大挑战和投入需求，但缩小与美团的差距并非短时间内可实现。</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美团外卖一季度减亏超预期分析</w:t>
      </w:r>
    </w:p>
    <w:p>
      <w:r>
        <w:rPr>
          <w:rFonts w:ascii="等线(中文正文)" w:hAnsi="等线(中文正文)" w:cs="等线(中文正文)" w:eastAsia="等线(中文正文)"/>
          <w:b w:val="false"/>
          <w:i w:val="false"/>
          <w:sz w:val="20"/>
        </w:rPr>
        <w:t>会议讨论了美团外卖一季度减亏超预期的主要原因，指出通过减少补贴和优化运力补贴，成功控制亏损并实现盈利平衡。专家表示，尽管初期担忧市场份额可能下滑，但实际订单量保持稳定甚至增长，证实了减亏策略的有效性。</w:t>
      </w:r>
    </w:p>
    <w:p>
      <w:r>
        <w:rPr>
          <w:rFonts w:ascii="等线(中文正文)" w:hAnsi="等线(中文正文)" w:cs="等线(中文正文)" w:eastAsia="等线(中文正文)"/>
          <w:b w:val="false"/>
          <w:i w:val="false"/>
          <w:sz w:val="20"/>
        </w:rPr>
        <w:t/>
      </w:r>
    </w:p>
    <w:p>
      <w:pPr>
        <w:pStyle w:val="ab"/>
        <w:numPr>
          <w:numId w:val="2"/>
        </w:numPr>
      </w:pPr>
      <w:r>
        <w:t>04:01 外卖市场份额变化与策略调整分析</w:t>
      </w:r>
    </w:p>
    <w:p>
      <w:r>
        <w:rPr>
          <w:rFonts w:ascii="等线(中文正文)" w:hAnsi="等线(中文正文)" w:cs="等线(中文正文)" w:eastAsia="等线(中文正文)"/>
          <w:b w:val="false"/>
          <w:i w:val="false"/>
          <w:sz w:val="20"/>
        </w:rPr>
        <w:t>对话围绕外卖市场份额的变化展开，详细描述了从2023年5月到2025年5月期间，市场份额从75%-78%降至55%，后因调整补贴策略，市场份额逐步回升至60%以上的过程。重点指出高客单价用户（35元以上）市场份额稳定在70%以上，而低客单价市场受补贴影响波动较大。最终，通过减少补贴，优化运营策略，实现了市场份额的稳定增长。</w:t>
      </w:r>
    </w:p>
    <w:p>
      <w:r>
        <w:rPr>
          <w:rFonts w:ascii="等线(中文正文)" w:hAnsi="等线(中文正文)" w:cs="等线(中文正文)" w:eastAsia="等线(中文正文)"/>
          <w:b w:val="false"/>
          <w:i w:val="false"/>
          <w:sz w:val="20"/>
        </w:rPr>
        <w:t/>
      </w:r>
    </w:p>
    <w:p>
      <w:pPr>
        <w:pStyle w:val="ab"/>
        <w:numPr>
          <w:numId w:val="3"/>
        </w:numPr>
      </w:pPr>
      <w:r>
        <w:t>10:25 外卖平台优异值与运营效率分析</w:t>
      </w:r>
    </w:p>
    <w:p>
      <w:r>
        <w:rPr>
          <w:rFonts w:ascii="等线(中文正文)" w:hAnsi="等线(中文正文)" w:cs="等线(中文正文)" w:eastAsia="等线(中文正文)"/>
          <w:b w:val="false"/>
          <w:i w:val="false"/>
          <w:sz w:val="20"/>
        </w:rPr>
        <w:t>讨论了外卖平台在高客单价与低客单价订单中的优异值差异，指出高客单价优异值较高，低客单价因履约成本高导致优异值较低。同时，对比了与竞争对手在补贴、运力、商家在线率及骑手端服务等方面的差距，强调自身在运力稳定性和配送效率上的优势。</w:t>
      </w:r>
    </w:p>
    <w:p>
      <w:r>
        <w:rPr>
          <w:rFonts w:ascii="等线(中文正文)" w:hAnsi="等线(中文正文)" w:cs="等线(中文正文)" w:eastAsia="等线(中文正文)"/>
          <w:b w:val="false"/>
          <w:i w:val="false"/>
          <w:sz w:val="20"/>
        </w:rPr>
        <w:t/>
      </w:r>
    </w:p>
    <w:p>
      <w:pPr>
        <w:pStyle w:val="ab"/>
        <w:numPr>
          <w:numId w:val="4"/>
        </w:numPr>
      </w:pPr>
      <w:r>
        <w:t>15:54 配送网络时效差距分析</w:t>
      </w:r>
    </w:p>
    <w:p>
      <w:r>
        <w:rPr>
          <w:rFonts w:ascii="等线(中文正文)" w:hAnsi="等线(中文正文)" w:cs="等线(中文正文)" w:eastAsia="等线(中文正文)"/>
          <w:b w:val="false"/>
          <w:i w:val="false"/>
          <w:sz w:val="20"/>
        </w:rPr>
        <w:t>讨论了专送与众包配送模式在运力供给上的差异，指出由于服务商依赖度高及订单不稳定性，导致配送时效难以提升，与领先者存在显著差距，追赶需巨大成本和时间投入。</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他主持的会议聚焦于长城传媒互联网外卖专家领域，明确会议仅面向长城证券签约客户及受邀嘉宾，强调遵守监管要求，禁止讨论未公开信息。他重点分析了美团外卖一季度的超预期表现，认为其成功减亏策略的有效实施是关键因素，尽管减亏处于预期范围内，市场更关注美团如何在减少补贴的同时维持市场份额。通过调整补贴策略，尤其是优化高客单价订单，美团实现了市场份额的稳定增长。对比阿里等竞争对手，美团在外卖领域的运营效率、供给侧能力，包括运力管理、用户满意度和产品优化方面展现出明显优势。发言最后指出，尽管其他竞争对手也在努力提升服务质量，但在履约时效等方面，与美团相比仍存在显著差距。</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问：美团一季度外卖业务超预期的主要发力点在哪里？</w:t>
      </w:r>
    </w:p>
    <w:p>
      <w:r>
        <w:rPr>
          <w:rFonts w:ascii="等线(中文正文)" w:hAnsi="等线(中文正文)" w:cs="等线(中文正文)" w:eastAsia="等线(中文正文)"/>
          <w:b w:val="false"/>
          <w:i w:val="false"/>
          <w:sz w:val="20"/>
        </w:rPr>
        <w:t>发言人1 答：美团一季度外卖业务超预期的主要发力点在于减亏策略的实施和补贴的适当减少。从去年10月份开始，美团就逐步调整了补贴策略，通过减少对C端用户的补贴和汽车运力的补贴，成功实现了减亏速度的大幅提升。虽然补贴减少，但由于精准调控，市场份额并未明显下降，甚至在环比和同比上都有所增长。</w:t>
      </w:r>
    </w:p>
    <w:p>
      <w:r>
        <w:rPr>
          <w:rFonts w:ascii="等线(中文正文)" w:hAnsi="等线(中文正文)" w:cs="等线(中文正文)" w:eastAsia="等线(中文正文)"/>
          <w:b w:val="false"/>
          <w:i w:val="false"/>
          <w:sz w:val="20"/>
        </w:rPr>
        <w:t/>
      </w:r>
    </w:p>
    <w:p>
      <w:pPr>
        <w:pStyle w:val="ab"/>
      </w:pPr>
      <w:r>
        <w:t>发言人1 问：美团当前的整体市场份额大概是多少？</w:t>
      </w:r>
    </w:p>
    <w:p>
      <w:r>
        <w:rPr>
          <w:rFonts w:ascii="等线(中文正文)" w:hAnsi="等线(中文正文)" w:cs="等线(中文正文)" w:eastAsia="等线(中文正文)"/>
          <w:b w:val="false"/>
          <w:i w:val="false"/>
          <w:sz w:val="20"/>
        </w:rPr>
        <w:t>发言人1 答：在五月份之前，美团全国的市场份额大约在75%到78%之间，华南地区占比高达80%，而在江浙沪地区则约为65%左右。但随着外卖大战的展开，市场份额从五月份开始快速下滑，到七八月份时份额降至60%甚至更低。</w:t>
      </w:r>
    </w:p>
    <w:p>
      <w:r>
        <w:rPr>
          <w:rFonts w:ascii="等线(中文正文)" w:hAnsi="等线(中文正文)" w:cs="等线(中文正文)" w:eastAsia="等线(中文正文)"/>
          <w:b w:val="false"/>
          <w:i w:val="false"/>
          <w:sz w:val="20"/>
        </w:rPr>
        <w:t/>
      </w:r>
    </w:p>
    <w:p>
      <w:pPr>
        <w:pStyle w:val="ab"/>
      </w:pPr>
      <w:r>
        <w:t>发言人1 问：补贴减少后，美团的市场份额是否受到影响？</w:t>
      </w:r>
    </w:p>
    <w:p>
      <w:r>
        <w:rPr>
          <w:rFonts w:ascii="等线(中文正文)" w:hAnsi="等线(中文正文)" w:cs="等线(中文正文)" w:eastAsia="等线(中文正文)"/>
          <w:b w:val="false"/>
          <w:i w:val="false"/>
          <w:sz w:val="20"/>
        </w:rPr>
        <w:t>发言人1 答：在持续减少补贴的过程中，美团的市场份额虽然有所波动，但绝对值并未大幅度减少，甚至在补贴减少后出现了环比和同比的上升趋势。特别是在去年11月到12月期间，市场份额稳定在55%至58%之间，春节过后，市场份额进一步回归至接近60%。</w:t>
      </w:r>
    </w:p>
    <w:p>
      <w:r>
        <w:rPr>
          <w:rFonts w:ascii="等线(中文正文)" w:hAnsi="等线(中文正文)" w:cs="等线(中文正文)" w:eastAsia="等线(中文正文)"/>
          <w:b w:val="false"/>
          <w:i w:val="false"/>
          <w:sz w:val="20"/>
        </w:rPr>
        <w:t/>
      </w:r>
    </w:p>
    <w:p>
      <w:pPr>
        <w:pStyle w:val="ab"/>
      </w:pPr>
      <w:r>
        <w:t>发言人1 问：在3月份和4月份，你们在华南地区的市场份额是如何变化的？高客单价（35元以上）和低客单价的市场份额占比如何？</w:t>
      </w:r>
    </w:p>
    <w:p>
      <w:r>
        <w:rPr>
          <w:rFonts w:ascii="等线(中文正文)" w:hAnsi="等线(中文正文)" w:cs="等线(中文正文)" w:eastAsia="等线(中文正文)"/>
          <w:b w:val="false"/>
          <w:i w:val="false"/>
          <w:sz w:val="20"/>
        </w:rPr>
        <w:t>发言人1 答：在3月份，我们华南地区的市场份额已经达到了60%，到了4月份，这一市场份额进一步上升至65%左右。目前，华南地区的高客单价订单市场份额保持在70%以上，而低客单价商品的市场份额则有所波动，特别是20元以下的简餐和奶咖奶茶类饮品，其市场份额从之前的70%多下降到有时仅剩30%到40%。</w:t>
      </w:r>
    </w:p>
    <w:p>
      <w:r>
        <w:rPr>
          <w:rFonts w:ascii="等线(中文正文)" w:hAnsi="等线(中文正文)" w:cs="等线(中文正文)" w:eastAsia="等线(中文正文)"/>
          <w:b w:val="false"/>
          <w:i w:val="false"/>
          <w:sz w:val="20"/>
        </w:rPr>
        <w:t/>
      </w:r>
    </w:p>
    <w:p>
      <w:pPr>
        <w:pStyle w:val="ab"/>
      </w:pPr>
      <w:r>
        <w:t>发言人1 问：高客单价和低客单价产品的单均盈利差距有多大？</w:t>
      </w:r>
    </w:p>
    <w:p>
      <w:r>
        <w:rPr>
          <w:rFonts w:ascii="等线(中文正文)" w:hAnsi="等线(中文正文)" w:cs="等线(中文正文)" w:eastAsia="等线(中文正文)"/>
          <w:b w:val="false"/>
          <w:i w:val="false"/>
          <w:sz w:val="20"/>
        </w:rPr>
        <w:t>发言人1 答：高客单价产品的单均盈利较高，例如35元以上的订单，在外卖单之前，单均优异值可达到1.5到2元。而低客单价商品的单均优异值较低，通常在3到6毛左右，但由于履约成本高，仍能实现正向优异值。</w:t>
      </w:r>
    </w:p>
    <w:p>
      <w:r>
        <w:rPr>
          <w:rFonts w:ascii="等线(中文正文)" w:hAnsi="等线(中文正文)" w:cs="等线(中文正文)" w:eastAsia="等线(中文正文)"/>
          <w:b w:val="false"/>
          <w:i w:val="false"/>
          <w:sz w:val="20"/>
        </w:rPr>
        <w:t/>
      </w:r>
    </w:p>
    <w:p>
      <w:pPr>
        <w:pStyle w:val="ab"/>
      </w:pPr>
      <w:r>
        <w:t>发言人1 问：目前公司的优异水平以及与竞争对手之间的差异是怎样的？</w:t>
      </w:r>
    </w:p>
    <w:p>
      <w:r>
        <w:rPr>
          <w:rFonts w:ascii="等线(中文正文)" w:hAnsi="等线(中文正文)" w:cs="等线(中文正文)" w:eastAsia="等线(中文正文)"/>
          <w:b w:val="false"/>
          <w:i w:val="false"/>
          <w:sz w:val="20"/>
        </w:rPr>
        <w:t>发言人1 答：目前公司内部的优异预测值会根据业务团队和地区经验进行评估，并与实际结果存在一定的偏差，但一般不会太大。关于与阿里和美团的优异值对比，阿里声称其与美团的差距是一块多，但根据我们的观察和内部数据，这个差距可能并没有那么大，预计我们的优异值比阿里的要好一些，大约在负两块钱左右。</w:t>
      </w:r>
    </w:p>
    <w:p>
      <w:r>
        <w:rPr>
          <w:rFonts w:ascii="等线(中文正文)" w:hAnsi="等线(中文正文)" w:cs="等线(中文正文)" w:eastAsia="等线(中文正文)"/>
          <w:b w:val="false"/>
          <w:i w:val="false"/>
          <w:sz w:val="20"/>
        </w:rPr>
        <w:t/>
      </w:r>
    </w:p>
    <w:p>
      <w:pPr>
        <w:pStyle w:val="ab"/>
      </w:pPr>
      <w:r>
        <w:t>发言人1 问：阿里的基础设施建设是否不如美团？</w:t>
      </w:r>
    </w:p>
    <w:p>
      <w:r>
        <w:rPr>
          <w:rFonts w:ascii="等线(中文正文)" w:hAnsi="等线(中文正文)" w:cs="等线(中文正文)" w:eastAsia="等线(中文正文)"/>
          <w:b w:val="false"/>
          <w:i w:val="false"/>
          <w:sz w:val="20"/>
        </w:rPr>
        <w:t>发言人1 答：可以理解为阿里的基础设施在运力和供给侧方面不如美团，尤其是在商家在线率、配送时效等方面存在差距，目前尚未追赶上美团的效率和品质。</w:t>
      </w:r>
    </w:p>
    <w:p>
      <w:r>
        <w:rPr>
          <w:rFonts w:ascii="等线(中文正文)" w:hAnsi="等线(中文正文)" w:cs="等线(中文正文)" w:eastAsia="等线(中文正文)"/>
          <w:b w:val="false"/>
          <w:i w:val="false"/>
          <w:sz w:val="20"/>
        </w:rPr>
        <w:t/>
      </w:r>
    </w:p>
    <w:p>
      <w:pPr>
        <w:pStyle w:val="ab"/>
      </w:pPr>
      <w:r>
        <w:t>发言人1 问：配送时效差距主要由哪些因素造成？</w:t>
      </w:r>
    </w:p>
    <w:p>
      <w:r>
        <w:rPr>
          <w:rFonts w:ascii="等线(中文正文)" w:hAnsi="等线(中文正文)" w:cs="等线(中文正文)" w:eastAsia="等线(中文正文)"/>
          <w:b w:val="false"/>
          <w:i w:val="false"/>
          <w:sz w:val="20"/>
        </w:rPr>
        <w:t>发言人1 答：配送时效差距主要源于配送网络搭建不足和供给侧能力的问题，尤其是专送运力占比不足，大量订单依赖成本较高且稳定性较差的众包运力完成配送，导致履约时效与美团相比仍有较大差距。</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