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东财宏观利率每周看 第11期 260603_导读</w:t>
      </w:r>
    </w:p>
    <w:p>
      <w:pPr>
        <w:pStyle w:val="a0"/>
        <w:jc w:val="center"/>
      </w:pPr>
      <w:r>
        <w:t>2026年06月03日 23:24</w:t>
      </w:r>
    </w:p>
    <w:p>
      <w:pPr>
        <w:pStyle w:val="a7"/>
      </w:pPr>
      <w:r>
        <w:t>关键词</w:t>
      </w:r>
    </w:p>
    <w:p>
      <w:r>
        <w:rPr>
          <w:rFonts w:ascii="等线(中文正文)" w:hAnsi="等线(中文正文)" w:cs="等线(中文正文)" w:eastAsia="等线(中文正文)"/>
          <w:b w:val="false"/>
          <w:i w:val="false"/>
          <w:sz w:val="20"/>
        </w:rPr>
        <w:t xml:space="preserve">利率市场 流动性 债券收益率 房地产 工业生产 煤炭日耗量 航运价格 出口端 经济表现 政策 公共服务 城市更新 打击劣质低价 高频经济 新房成交面积 二手房销售 土拍数据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上周，利率市场与流动性市场呈现积极态势，市场做多情绪推动债券收益率整体下行。政策方面，国务院新闻办吹风会及国家发展改革委副主任发言，聚焦公共服务随人走的政策方向，强调城市更新十五规划，重点任务包括城镇危旧房改造、老旧小区改造和城市地下管网改造等。市场监督方面，启动打击劣质低价专项行动，旨在整治内卷式竞争，强化监管。高频经济数据显示，房地产市场新房成交面积边际上行，一线城市领涨；工业生产节奏放缓，需关注成本支撑及价格变动。此外，航运价格大幅回升，但港口集装箱吞吐量持续下降，出口端支撑情况需密切观察。整体上，上周经济活动多维度发展，政策、市场与经济表现均显现出特定趋势和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上周债市回顾与流动性市场分析</w:t>
      </w:r>
    </w:p>
    <w:p>
      <w:r>
        <w:rPr>
          <w:rFonts w:ascii="等线(中文正文)" w:hAnsi="等线(中文正文)" w:cs="等线(中文正文)" w:eastAsia="等线(中文正文)"/>
          <w:b w:val="false"/>
          <w:i w:val="false"/>
          <w:sz w:val="20"/>
        </w:rPr>
        <w:t>上周流动性市场整体均衡，市场杠杆水平回落，银行间质押式逆回购大幅下降。一级发行量减少，但二级市场因流动性宽松，债券收益率强势下行。全周十年期国债活跃券收益率较前一周下行3.70个基点。关注超长期国债发行及大额买断到期对市场的影响，以及地方债集中发行对二级市场走势的潜在影响。</w:t>
      </w:r>
    </w:p>
    <w:p>
      <w:r>
        <w:rPr>
          <w:rFonts w:ascii="等线(中文正文)" w:hAnsi="等线(中文正文)" w:cs="等线(中文正文)" w:eastAsia="等线(中文正文)"/>
          <w:b w:val="false"/>
          <w:i w:val="false"/>
          <w:sz w:val="20"/>
        </w:rPr>
        <w:t/>
      </w:r>
    </w:p>
    <w:p>
      <w:pPr>
        <w:pStyle w:val="ab"/>
        <w:numPr>
          <w:numId w:val="2"/>
        </w:numPr>
      </w:pPr>
      <w:r>
        <w:t>01:55 政策聚焦：公共服务均等化、城市更新与市场监督专项行动</w:t>
      </w:r>
    </w:p>
    <w:p>
      <w:r>
        <w:rPr>
          <w:rFonts w:ascii="等线(中文正文)" w:hAnsi="等线(中文正文)" w:cs="等线(中文正文)" w:eastAsia="等线(中文正文)"/>
          <w:b w:val="false"/>
          <w:i w:val="false"/>
          <w:sz w:val="20"/>
        </w:rPr>
        <w:t>国务院新闻办公室发布关于推行常住地提供基本公共服务的实施意见，旨在通过居住证和居住年限互认机制，保障流动人口基本公共服务的连续享有，提升未落户常住人口家庭的公租房保障范围。住房和城乡建设部规划至2030年，通过城市更新行动，改造城镇危旧房、老旧小区和城中村，优化城市服务效能与居住环境。市场监督管理总局在全国部署打击劣质低价专项行动，聚焦价格执法、质量监管，整治内卷式竞争，强化直播电商监测，打击低质产品，构建长效监管机制。</w:t>
      </w:r>
    </w:p>
    <w:p>
      <w:r>
        <w:rPr>
          <w:rFonts w:ascii="等线(中文正文)" w:hAnsi="等线(中文正文)" w:cs="等线(中文正文)" w:eastAsia="等线(中文正文)"/>
          <w:b w:val="false"/>
          <w:i w:val="false"/>
          <w:sz w:val="20"/>
        </w:rPr>
        <w:t/>
      </w:r>
    </w:p>
    <w:p>
      <w:pPr>
        <w:pStyle w:val="ab"/>
        <w:numPr>
          <w:numId w:val="3"/>
        </w:numPr>
      </w:pPr>
      <w:r>
        <w:t>04:04 上周高频经济表现：房地产销售回暖，工业生产放缓</w:t>
      </w:r>
    </w:p>
    <w:p>
      <w:r>
        <w:rPr>
          <w:rFonts w:ascii="等线(中文正文)" w:hAnsi="等线(中文正文)" w:cs="等线(中文正文)" w:eastAsia="等线(中文正文)"/>
          <w:b w:val="false"/>
          <w:i w:val="false"/>
          <w:sz w:val="20"/>
        </w:rPr>
        <w:t>上周房地产市场新房成交面积边际上行，一线城市销售回暖，但二三线城市波动回落；二手房成交面积高于往年同期，但挂牌价指数仍下跌。土拍分化格局延续，百城成交面积回升。工业生产节奏边际放缓，需关注上游价格对成本影响。城市更新规划提出危旧房改造目标，关注政策推进效果及对二手房支撑作用。</w:t>
      </w:r>
    </w:p>
    <w:p>
      <w:r>
        <w:rPr>
          <w:rFonts w:ascii="等线(中文正文)" w:hAnsi="等线(中文正文)" w:cs="等线(中文正文)" w:eastAsia="等线(中文正文)"/>
          <w:b w:val="false"/>
          <w:i w:val="false"/>
          <w:sz w:val="20"/>
        </w:rPr>
        <w:t/>
      </w:r>
    </w:p>
    <w:p>
      <w:pPr>
        <w:pStyle w:val="ab"/>
        <w:numPr>
          <w:numId w:val="4"/>
        </w:numPr>
      </w:pPr>
      <w:r>
        <w:t>05:03 工业生产节奏放缓与市场价格波动分析</w:t>
      </w:r>
    </w:p>
    <w:p>
      <w:r>
        <w:rPr>
          <w:rFonts w:ascii="等线(中文正文)" w:hAnsi="等线(中文正文)" w:cs="等线(中文正文)" w:eastAsia="等线(中文正文)"/>
          <w:b w:val="false"/>
          <w:i w:val="false"/>
          <w:sz w:val="20"/>
        </w:rPr>
        <w:t>上周工业生产节奏整体小幅放缓，煤炭日耗量呈现先上后下格局，焦化、水泥、化工等产业开工率多数下行。价格方面，焦煤、焦炭期货价格回升，铁矿石、螺纹钢价格回落，玻璃、纯碱、铜铝期货价格上涨，国际原油价格大幅下跌。航运价格回升，但港口集装箱吞吐量下降，欧洲和地中海航线订舱价格上涨，北美航线运输需求平稳，美国经济走势不确定性增加，中国港口货物和集装箱吞吐量低于去年同期，出口端边际走弱，需关注五月出口经同比增速是否延续回升。</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他对上周债市与中国经济情况进行了全面总结。在利率市场方面，整体流动性保持均衡，市场杠杆水平有所回落，银行间质押式逆回购交易减少。国债和金融债的净供给下降，推动了二级市场债券收益率的持续下行。政策层面上，国务院推出关于提供基本公共服务的实施意见，着重于流动人口服务保障和城市更新规划，旨在提升公共服务均等化水平和城市更新效率。市场监督方面，启动了打击劣质低价商品的专项行动，以遏制内卷式竞争现象。
经济表现方面，新房成交面积有所增长，但工业生产节奏小幅放缓，航运价格回升而港口集装箱吞吐量下降。他强调了超长期国债发行、地方债发行规模以及工业生产成本支撑的重要性，并对未来的经济走势持乐观态度，认为上述措施将对稳定市场、促进经济增长产生积极作用。</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问：上周利率市场相关走势如何？市场监督管理方面有何行动？</w:t>
      </w:r>
    </w:p>
    <w:p>
      <w:r>
        <w:rPr>
          <w:rFonts w:ascii="等线(中文正文)" w:hAnsi="等线(中文正文)" w:cs="等线(中文正文)" w:eastAsia="等线(中文正文)"/>
          <w:b w:val="false"/>
          <w:i w:val="false"/>
          <w:sz w:val="20"/>
        </w:rPr>
        <w:t>发言人1 答：上周流动性市场整体保持均衡，仅出现小幅收敛，市场杠杆水平明显回落，银行间质押式逆回购大幅下降。一级发行方面，内债和存单发行量较少，国债、债券债净供给减少，股份行及国有行存金融资规模亦有下降。二级市场上，由于流动性宽松均衡，做多情绪高涨，债券收益率整体强势下行。市场监管总局在全国范围内部署开展打击劣质低价专项行动，聚焦与经营主体生产活动密切相关的行业，综合运用价格执法、质量监管、标准引领等手段整治内卷式竞争，查处网络不正当竞争行为，加强产品质量监督抽检，强化缺陷产品召回监管，并构建防范低质劣质低价问题的长效监管机制。</w:t>
      </w:r>
    </w:p>
    <w:p>
      <w:r>
        <w:rPr>
          <w:rFonts w:ascii="等线(中文正文)" w:hAnsi="等线(中文正文)" w:cs="等线(中文正文)" w:eastAsia="等线(中文正文)"/>
          <w:b w:val="false"/>
          <w:i w:val="false"/>
          <w:sz w:val="20"/>
        </w:rPr>
        <w:t/>
      </w:r>
    </w:p>
    <w:p>
      <w:pPr>
        <w:pStyle w:val="ab"/>
      </w:pPr>
      <w:r>
        <w:t>发言人1 问：上周债券收益率具体变化情况怎样？</w:t>
      </w:r>
    </w:p>
    <w:p>
      <w:r>
        <w:rPr>
          <w:rFonts w:ascii="等线(中文正文)" w:hAnsi="等线(中文正文)" w:cs="等线(中文正文)" w:eastAsia="等线(中文正文)"/>
          <w:b w:val="false"/>
          <w:i w:val="false"/>
          <w:sz w:val="20"/>
        </w:rPr>
        <w:t>发言人1 答：周一受央行公开市场投放较多资金的影响，现券收益率快速下行；周三权益市场回调导致避险资金流入，长端现券强势突破前期低点；周四市场呈现止盈形态，长端小幅震荡回调；周五在偏弱基本面预期及股市调整的影响下，各期限收益率再次稳步下行。</w:t>
      </w:r>
    </w:p>
    <w:p>
      <w:r>
        <w:rPr>
          <w:rFonts w:ascii="等线(中文正文)" w:hAnsi="等线(中文正文)" w:cs="等线(中文正文)" w:eastAsia="等线(中文正文)"/>
          <w:b w:val="false"/>
          <w:i w:val="false"/>
          <w:sz w:val="20"/>
        </w:rPr>
        <w:t/>
      </w:r>
    </w:p>
    <w:p>
      <w:pPr>
        <w:pStyle w:val="ab"/>
      </w:pPr>
      <w:r>
        <w:t>发言人1 问：关注的国债发行及到期情况有哪些？</w:t>
      </w:r>
    </w:p>
    <w:p>
      <w:r>
        <w:rPr>
          <w:rFonts w:ascii="等线(中文正文)" w:hAnsi="等线(中文正文)" w:cs="等线(中文正文)" w:eastAsia="等线(中文正文)"/>
          <w:b w:val="false"/>
          <w:i w:val="false"/>
          <w:sz w:val="20"/>
        </w:rPr>
        <w:t>发言人1 答：本周三和周五将分别发行30年期和20年期超长期国债，并关注一级市场招标情况及超长期供给对市场情绪的影响。同时，中国将有8000亿91天期买断式回购集中到期，需求规模值得关注，以及地方债发行规模较大，一级集中放量对二级市场走势的影响。</w:t>
      </w:r>
    </w:p>
    <w:p>
      <w:r>
        <w:rPr>
          <w:rFonts w:ascii="等线(中文正文)" w:hAnsi="等线(中文正文)" w:cs="等线(中文正文)" w:eastAsia="等线(中文正文)"/>
          <w:b w:val="false"/>
          <w:i w:val="false"/>
          <w:sz w:val="20"/>
        </w:rPr>
        <w:t/>
      </w:r>
    </w:p>
    <w:p>
      <w:pPr>
        <w:pStyle w:val="ab"/>
      </w:pPr>
      <w:r>
        <w:t>发言人1 问：上周政策方面有哪些重要表现？</w:t>
      </w:r>
    </w:p>
    <w:p>
      <w:r>
        <w:rPr>
          <w:rFonts w:ascii="等线(中文正文)" w:hAnsi="等线(中文正文)" w:cs="等线(中文正文)" w:eastAsia="等线(中文正文)"/>
          <w:b w:val="false"/>
          <w:i w:val="false"/>
          <w:sz w:val="20"/>
        </w:rPr>
        <w:t>发言人1 答：国务院新闻办公室召开吹风会，介绍了关于推行常住地提供基本公共服务的实施意见，推动公共服务随人走，以居住证和居住年限互认为抓手保障流动人口连续享有基本公共服务。此外，国务院印发了城市更新十五规划，提出到2030年城市更新行动取得重要进展，明确了一系列城镇危旧房改造、老旧小区改造、城中村改造、城市地下管网改造等目标和任务，并制定了相关政策举措。</w:t>
      </w:r>
    </w:p>
    <w:p>
      <w:r>
        <w:rPr>
          <w:rFonts w:ascii="等线(中文正文)" w:hAnsi="等线(中文正文)" w:cs="等线(中文正文)" w:eastAsia="等线(中文正文)"/>
          <w:b w:val="false"/>
          <w:i w:val="false"/>
          <w:sz w:val="20"/>
        </w:rPr>
        <w:t/>
      </w:r>
    </w:p>
    <w:p>
      <w:pPr>
        <w:pStyle w:val="ab"/>
      </w:pPr>
      <w:r>
        <w:t>发言人1 问：上周高频经济表现情况如何？</w:t>
      </w:r>
    </w:p>
    <w:p>
      <w:r>
        <w:rPr>
          <w:rFonts w:ascii="等线(中文正文)" w:hAnsi="等线(中文正文)" w:cs="等线(中文正文)" w:eastAsia="等线(中文正文)"/>
          <w:b w:val="false"/>
          <w:i w:val="false"/>
          <w:sz w:val="20"/>
        </w:rPr>
        <w:t>发言人1 答：上周房地产领域中，新房成交面积边际上行，一线城市领涨；二手房销售方面，挂牌价指数环比下跌，但成交面积显著高于往年同期水平。工业生产节奏整体放缓，多个行业开工率下行，需关注城市更新规划落地后的推进效果以及对二手房成交的支撑作用。此外，焦煤、焦炭价格回升，铁矿石和螺纹钢价格回落，而玻璃、纯碱等化工产品价格走强，国际原油价格大幅下跌，中东局势的发展将对油价产生影响。</w:t>
      </w:r>
    </w:p>
    <w:p>
      <w:r>
        <w:rPr>
          <w:rFonts w:ascii="等线(中文正文)" w:hAnsi="等线(中文正文)" w:cs="等线(中文正文)" w:eastAsia="等线(中文正文)"/>
          <w:b w:val="false"/>
          <w:i w:val="false"/>
          <w:sz w:val="20"/>
        </w:rPr>
        <w:t/>
      </w:r>
    </w:p>
    <w:p>
      <w:pPr>
        <w:pStyle w:val="ab"/>
      </w:pPr>
      <w:r>
        <w:t>发言人1 问：航运价格和港口集装箱吞吐量的情况怎样？</w:t>
      </w:r>
    </w:p>
    <w:p>
      <w:r>
        <w:rPr>
          <w:rFonts w:ascii="等线(中文正文)" w:hAnsi="等线(中文正文)" w:cs="等线(中文正文)" w:eastAsia="等线(中文正文)"/>
          <w:b w:val="false"/>
          <w:i w:val="false"/>
          <w:sz w:val="20"/>
        </w:rPr>
        <w:t>发言人1 答：上周航运价格大幅回升，但港口集装箱吞吐量持续下降，欧洲航线和地中海航线行情同步上涨，北美航线运输需求平稳增长，不过美国经济增速放缓和PCE物价指数上升给其经济走势带来不确定性。中国港口货物和集装箱吞吐量前四周低于去年同期水平，其中5月下旬以来出口端有所走弱，后续需关注出口经同比增速能否延续回升态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2026-06-03T15:29:50Z</dcterms:created>
  <dc:creator>Apache POI</dc:creator>
</cp:coreProperties>
</file>