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研报解读：MLCC--指数权重 260601_导读</w:t>
      </w:r>
    </w:p>
    <w:p>
      <w:pPr>
        <w:pStyle w:val="a0"/>
        <w:jc w:val="center"/>
      </w:pPr>
      <w:r>
        <w:t>2026年06月01日 21:59</w:t>
      </w:r>
    </w:p>
    <w:p>
      <w:pPr>
        <w:pStyle w:val="a7"/>
      </w:pPr>
      <w:r>
        <w:t>关键词</w:t>
      </w:r>
    </w:p>
    <w:p>
      <w:r>
        <w:rPr>
          <w:rFonts w:ascii="等线(中文正文)" w:hAnsi="等线(中文正文)" w:cs="等线(中文正文)" w:eastAsia="等线(中文正文)"/>
          <w:b w:val="false"/>
          <w:i w:val="false"/>
          <w:sz w:val="20"/>
        </w:rPr>
        <w:t xml:space="preserve">AI mlcc 供应链 高盛 NVIDIA 联想 村田制作所 太阳佑电 三星电机 定价能力 期权策略 风险分散 隐含波动率 投资建议 技术变革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多层陶瓷电容器（MLCC）在人工智能（AI）算力扩张中扮演着至关重要的角色，尽管AI领域内GPU、HBM等技术更为人所熟知，但MLCC作为基础电子元件，其需求因AI算力增长而急剧上升。高盛预测，到2026年，AI基础设施的年度支出将达8000亿美元，MLCC作为受益者，需求将持续旺盛。亚洲制造商，特别是专注于服务器和工业级产品的公司，有望因高产能利用率和定价能力而受益。然而，投资MLCC领域时，需谨慎评估行业不确定性、技术变革及周期性风险，建议投资者考虑专业意见。整体上，MLCC投资前景被看好，但需审慎行事。</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AI浪潮下的MLCC：不可或缺的幕后英雄</w:t>
      </w:r>
    </w:p>
    <w:p>
      <w:r>
        <w:rPr>
          <w:rFonts w:ascii="等线(中文正文)" w:hAnsi="等线(中文正文)" w:cs="等线(中文正文)" w:eastAsia="等线(中文正文)"/>
          <w:b w:val="false"/>
          <w:i w:val="false"/>
          <w:sz w:val="20"/>
        </w:rPr>
        <w:t>对话聚焦于AI大模型热潮中被忽视的MLCC（多层陶瓷电容器）的重要性。MLCC作为电路板上的必选物料，其需求随AI基础设施的扩张而持续增长，特别是在高端领域。预计到2026年底，AI基础设施年度支出将达到8000亿美元，推动MLCC需求激增。市场分析显示，AI服务器出货量年复合增长率将达到37%，而NVIDIA和联想等公司的业绩增长证实了这一趋势。因此，MLCC供应链被视为AI发展中的结构性受益者，其供应端的高端市场正经历回暖。</w:t>
      </w:r>
    </w:p>
    <w:p>
      <w:r>
        <w:rPr>
          <w:rFonts w:ascii="等线(中文正文)" w:hAnsi="等线(中文正文)" w:cs="等线(中文正文)" w:eastAsia="等线(中文正文)"/>
          <w:b w:val="false"/>
          <w:i w:val="false"/>
          <w:sz w:val="20"/>
        </w:rPr>
        <w:t/>
      </w:r>
    </w:p>
    <w:p>
      <w:pPr>
        <w:pStyle w:val="ab"/>
        <w:numPr>
          <w:numId w:val="2"/>
        </w:numPr>
      </w:pPr>
      <w:r>
        <w:t>02:29 MLCC行业投资机会与高盛策略分析</w:t>
      </w:r>
    </w:p>
    <w:p>
      <w:r>
        <w:rPr>
          <w:rFonts w:ascii="等线(中文正文)" w:hAnsi="等线(中文正文)" w:cs="等线(中文正文)" w:eastAsia="等线(中文正文)"/>
          <w:b w:val="false"/>
          <w:i w:val="false"/>
          <w:sz w:val="20"/>
        </w:rPr>
        <w:t>对话讨论了MLCC（多层陶瓷电容器）行业中的投资机会，特别指出亚洲制造商如村田制作所、三星电机和太阳佑电在服务器和工业级产品市场的强劲表现和定价能力提升。随着AI相关MLCC产品现货价格的上涨，供需失衡导致价格趋势向好。高盛看好日本企业Meta和他OU等在AI基础设施领域的未被充分评估的价值，建议采用期权策略进行投资，通过买入看跌期权和卖出不同行权价的看涨期权来对冲风险，以实现成本为零的看涨价差领子组合。</w:t>
      </w:r>
    </w:p>
    <w:p>
      <w:r>
        <w:rPr>
          <w:rFonts w:ascii="等线(中文正文)" w:hAnsi="等线(中文正文)" w:cs="等线(中文正文)" w:eastAsia="等线(中文正文)"/>
          <w:b w:val="false"/>
          <w:i w:val="false"/>
          <w:sz w:val="20"/>
        </w:rPr>
        <w:t/>
      </w:r>
    </w:p>
    <w:p>
      <w:pPr>
        <w:pStyle w:val="ab"/>
        <w:numPr>
          <w:numId w:val="3"/>
        </w:numPr>
      </w:pPr>
      <w:r>
        <w:t>04:34 MLCC投资机遇与风险探讨</w:t>
      </w:r>
    </w:p>
    <w:p>
      <w:r>
        <w:rPr>
          <w:rFonts w:ascii="等线(中文正文)" w:hAnsi="等线(中文正文)" w:cs="等线(中文正文)" w:eastAsia="等线(中文正文)"/>
          <w:b w:val="false"/>
          <w:i w:val="false"/>
          <w:sz w:val="20"/>
        </w:rPr>
        <w:t>对话深入探讨了MLCC（多层陶瓷电容器）在AI基础设施发展中的重要性及投资潜力，提出了通过亚洲MLCC篮子分散投资的策略，强调了风险分散和行业周期性特征。同时，提醒投资者注意行业不确定性、产能过剩风险及高盛研报的免责声明，建议投资者基于自身情况做出决策，注重独立思考与风险管理。</w:t>
      </w:r>
    </w:p>
    <w:p>
      <w:r>
        <w:rPr>
          <w:rFonts w:ascii="等线(中文正文)" w:hAnsi="等线(中文正文)" w:cs="等线(中文正文)" w:eastAsia="等线(中文正文)"/>
          <w:b w:val="false"/>
          <w:i w:val="false"/>
          <w:sz w:val="20"/>
        </w:rPr>
        <w:t/>
      </w:r>
    </w:p>
    <w:p>
      <w:pPr>
        <w:pStyle w:val="a7"/>
      </w:pPr>
      <w:r>
        <w:t>发言总结</w:t>
      </w:r>
    </w:p>
    <w:p>
      <w:pPr>
        <w:pStyle w:val="ab"/>
        <w:numPr>
          <w:numId w:val="4"/>
        </w:numPr>
      </w:pPr>
      <w:r>
        <w:t>发言人1</w:t>
      </w:r>
    </w:p>
    <w:p>
      <w:r>
        <w:rPr>
          <w:rFonts w:ascii="等线(中文正文)" w:hAnsi="等线(中文正文)" w:cs="等线(中文正文)" w:eastAsia="等线(中文正文)"/>
          <w:b w:val="false"/>
          <w:i w:val="false"/>
          <w:sz w:val="20"/>
        </w:rPr>
        <w:t>他强调了多层陶瓷电容器（MLCC）在AI时代的重要性，指出尽管AI领域投资巨大，但MLCC作为基础元件常被忽视。尽管GPU和HBM等技术备受关注，MLCC作为电路板上的必需元件，具有不可替代性，是AI算力扩张背后的结构性受益者。随着AI基础设施支出预期达到8000亿美元，MLCC需求预计将显著增长，尤其在高端产品方面。发言强调了日本企业村田制作所和三星电机在这一趋势中的重要地位，以及价格上涨趋势反映的供需关系。最后，他提供了投资策略建议，包括期权策略和投资亚洲MLCC篮子以分散风险，并提醒投资者关注潜在风险和周期性影响，强调投资决策需综合考虑个人情况和咨询专业顾问。</w:t>
      </w:r>
    </w:p>
    <w:p>
      <w:r>
        <w:rPr>
          <w:rFonts w:ascii="等线(中文正文)" w:hAnsi="等线(中文正文)" w:cs="等线(中文正文)" w:eastAsia="等线(中文正文)"/>
          <w:b w:val="false"/>
          <w:i w:val="false"/>
          <w:sz w:val="20"/>
        </w:rPr>
        <w:t/>
      </w:r>
    </w:p>
    <w:p>
      <w:pPr>
        <w:pStyle w:val="a7"/>
      </w:pPr>
      <w:r>
        <w:t>要点回顾</w:t>
      </w:r>
    </w:p>
    <w:p>
      <w:pPr>
        <w:pStyle w:val="ab"/>
      </w:pPr>
      <w:r>
        <w:t>mlcc在AI算力扩张中的角色是什么？</w:t>
      </w:r>
    </w:p>
    <w:p>
      <w:r>
        <w:rPr>
          <w:rFonts w:ascii="等线(中文正文)" w:hAnsi="等线(中文正文)" w:cs="等线(中文正文)" w:eastAsia="等线(中文正文)"/>
          <w:b w:val="false"/>
          <w:i w:val="false"/>
          <w:sz w:val="20"/>
        </w:rPr>
        <w:t>发言人1：mlcc在AI算力扩张中扮演着刚需的角色，是电路板上的必选物料，其重要性在于不可替代性。无论AI如何发展，mlcc都是必需的，因此在AI基础设施扩张的过程中，mlcc供应链是一个结构性的非自由裁量的受益者。</w:t>
      </w:r>
    </w:p>
    <w:p>
      <w:r>
        <w:rPr>
          <w:rFonts w:ascii="等线(中文正文)" w:hAnsi="等线(中文正文)" w:cs="等线(中文正文)" w:eastAsia="等线(中文正文)"/>
          <w:b w:val="false"/>
          <w:i w:val="false"/>
          <w:sz w:val="20"/>
        </w:rPr>
        <w:t/>
      </w:r>
    </w:p>
    <w:p>
      <w:pPr>
        <w:pStyle w:val="ab"/>
      </w:pPr>
      <w:r>
        <w:t>AI基础设施的年度支出预计会达到多少？</w:t>
      </w:r>
    </w:p>
    <w:p>
      <w:r>
        <w:rPr>
          <w:rFonts w:ascii="等线(中文正文)" w:hAnsi="等线(中文正文)" w:cs="等线(中文正文)" w:eastAsia="等线(中文正文)"/>
          <w:b w:val="false"/>
          <w:i w:val="false"/>
          <w:sz w:val="20"/>
        </w:rPr>
        <w:t>发言人1：根据高盛全球投资研究团队预测，到2026年底，AI基础设施的年度支出将达到8000亿美元。</w:t>
      </w:r>
    </w:p>
    <w:p>
      <w:r>
        <w:rPr>
          <w:rFonts w:ascii="等线(中文正文)" w:hAnsi="等线(中文正文)" w:cs="等线(中文正文)" w:eastAsia="等线(中文正文)"/>
          <w:b w:val="false"/>
          <w:i w:val="false"/>
          <w:sz w:val="20"/>
        </w:rPr>
        <w:t/>
      </w:r>
    </w:p>
    <w:p>
      <w:pPr>
        <w:pStyle w:val="ab"/>
      </w:pPr>
      <w:r>
        <w:t>AI服务器出货量的年复合增长率预计是多少？</w:t>
      </w:r>
    </w:p>
    <w:p>
      <w:r>
        <w:rPr>
          <w:rFonts w:ascii="等线(中文正文)" w:hAnsi="等线(中文正文)" w:cs="等线(中文正文)" w:eastAsia="等线(中文正文)"/>
          <w:b w:val="false"/>
          <w:i w:val="false"/>
          <w:sz w:val="20"/>
        </w:rPr>
        <w:t>发言人1：高盛预计AI服务器的出货量年复合增长率将在2028年前达到37%。</w:t>
      </w:r>
    </w:p>
    <w:p>
      <w:r>
        <w:rPr>
          <w:rFonts w:ascii="等线(中文正文)" w:hAnsi="等线(中文正文)" w:cs="等线(中文正文)" w:eastAsia="等线(中文正文)"/>
          <w:b w:val="false"/>
          <w:i w:val="false"/>
          <w:sz w:val="20"/>
        </w:rPr>
        <w:t/>
      </w:r>
    </w:p>
    <w:p>
      <w:pPr>
        <w:pStyle w:val="ab"/>
      </w:pPr>
      <w:r>
        <w:t>为什么高盛特别看好日本的村田制作所和太阳佑电这两家公司？</w:t>
      </w:r>
    </w:p>
    <w:p>
      <w:r>
        <w:rPr>
          <w:rFonts w:ascii="等线(中文正文)" w:hAnsi="等线(中文正文)" w:cs="等线(中文正文)" w:eastAsia="等线(中文正文)"/>
          <w:b w:val="false"/>
          <w:i w:val="false"/>
          <w:sz w:val="20"/>
        </w:rPr>
        <w:t>发言人1：尽管这两家公司在过去几年中在亚洲AI瓶颈和存储器交易中的表现落后于大盘，但它们的盈利周期正处于拐点，之前被市场低估，且它们的产品在AI服务器中起着至关重要的作用。</w:t>
      </w:r>
    </w:p>
    <w:p>
      <w:r>
        <w:rPr>
          <w:rFonts w:ascii="等线(中文正文)" w:hAnsi="等线(中文正文)" w:cs="等线(中文正文)" w:eastAsia="等线(中文正文)"/>
          <w:b w:val="false"/>
          <w:i w:val="false"/>
          <w:sz w:val="20"/>
        </w:rPr>
        <w:t/>
      </w:r>
    </w:p>
    <w:p>
      <w:pPr>
        <w:pStyle w:val="ab"/>
      </w:pPr>
      <w:r>
        <w:t>对于想要投资的投资者，高盛给出了哪两个操作建议？</w:t>
      </w:r>
    </w:p>
    <w:p>
      <w:r>
        <w:rPr>
          <w:rFonts w:ascii="等线(中文正文)" w:hAnsi="等线(中文正文)" w:cs="等线(中文正文)" w:eastAsia="等线(中文正文)"/>
          <w:b w:val="false"/>
          <w:i w:val="false"/>
          <w:sz w:val="20"/>
        </w:rPr>
        <w:t>发言人1：高盛给出了两个建议：一是期权策略，通过利用看涨价差领子组合来对冲风险；二是通过亚洲mlcc篮子进行分散投资，该篮子包含12支亚洲股票，覆盖了不同产业链环节的公司，有助于风险分散。</w:t>
      </w:r>
    </w:p>
    <w:p>
      <w:r>
        <w:rPr>
          <w:rFonts w:ascii="等线(中文正文)" w:hAnsi="等线(中文正文)" w:cs="等线(中文正文)" w:eastAsia="等线(中文正文)"/>
          <w:b w:val="false"/>
          <w:i w:val="false"/>
          <w:sz w:val="20"/>
        </w:rPr>
        <w:t/>
      </w:r>
    </w:p>
    <w:p>
      <w:pPr>
        <w:pStyle w:val="ab"/>
      </w:pPr>
      <w:r>
        <w:t>投资mlcc需要注意哪些风险和风险提示？</w:t>
      </w:r>
    </w:p>
    <w:p>
      <w:r>
        <w:rPr>
          <w:rFonts w:ascii="等线(中文正文)" w:hAnsi="等线(中文正文)" w:cs="等线(中文正文)" w:eastAsia="等线(中文正文)"/>
          <w:b w:val="false"/>
          <w:i w:val="false"/>
          <w:sz w:val="20"/>
        </w:rPr>
        <w:t>发言人1：投资mlcc存在技术变革、竞争加剧等不确定性风险，且行业周期性明显，价格波动较大。同时，投资者需要注意高盛研报中的免责声明，理性看待投资机会，并结合自身的风险承受能力和投资目标做出决策，咨询专业财务顾问。此外，高盛作为投行可能存在利益冲突，投资者不能仅依赖研究报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2026-06-01T14:20:23Z</dcterms:created>
  <dc:creator>Apache POI</dc:creator>
</cp:coreProperties>
</file>