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产业赛道与主题投资风向标 260528_导读</w:t>
      </w:r>
    </w:p>
    <w:p>
      <w:pPr>
        <w:pStyle w:val="a0"/>
        <w:jc w:val="center"/>
      </w:pPr>
      <w:r>
        <w:t>2026年06月01日 00:31</w:t>
      </w:r>
    </w:p>
    <w:p>
      <w:pPr>
        <w:pStyle w:val="a7"/>
      </w:pPr>
      <w:r>
        <w:t>关键词</w:t>
      </w:r>
    </w:p>
    <w:p>
      <w:r>
        <w:rPr>
          <w:rFonts w:ascii="等线(中文正文)" w:hAnsi="等线(中文正文)" w:cs="等线(中文正文)" w:eastAsia="等线(中文正文)"/>
          <w:b w:val="false"/>
          <w:i w:val="false"/>
          <w:sz w:val="20"/>
        </w:rPr>
        <w:t xml:space="preserve">科技赛道 AI算力 半导体 PCB 资本开支 摩尔定律 超定律 金刚石散热 机器人 算力网 长江存储 IPO 高多层 高频 高速 SDI 智能体 光纤 钨钢棒 存储架构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科技行业展现出了高度波动，尤其在AI算力、半导体和高端PCB等细分领域，同时传统消费板块则承受压力。市场分化主要归因于筹码拥挤、估值调整及资本开支减少。AI及科技板块因明确的资本投入而受青睐。中国半导体面临物理极限与制裁挑战，华为的“超定律”理念或推动行业转型。机器人、PCB、金刚石散热材料等领域被看好，得益于政策支持和产业动向，如算力在国力中的重要性提升及国产存储企业的发展。尽管整体市场成交量收缩，科技行业，特别是AI基建及关联领域，展现出坚韧态势，被视为长期投资焦点。</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科技板块波动与AI产业链崛起</w:t>
      </w:r>
    </w:p>
    <w:p>
      <w:r>
        <w:rPr>
          <w:rFonts w:ascii="等线(中文正文)" w:hAnsi="等线(中文正文)" w:cs="等线(中文正文)" w:eastAsia="等线(中文正文)"/>
          <w:b w:val="false"/>
          <w:i w:val="false"/>
          <w:sz w:val="20"/>
        </w:rPr>
        <w:t>对话分析了近期科技板块的高位震荡与剧烈波动，指出资金集中于TMT和半导体材料导致拥挤，同时AI产业链因其高资本开支成为市场焦点。华为超定律的提出重塑了中国半导体产业逻辑，预示科技仍是市场主线，资金正加速流向业绩交付能力强的科技龙头。全球范围内，芯片、半导体、AI光存储等板块迎来大幅上涨，反映人工智能产业的持续发展与乐观预期。</w:t>
      </w:r>
    </w:p>
    <w:p>
      <w:r>
        <w:rPr>
          <w:rFonts w:ascii="等线(中文正文)" w:hAnsi="等线(中文正文)" w:cs="等线(中文正文)" w:eastAsia="等线(中文正文)"/>
          <w:b w:val="false"/>
          <w:i w:val="false"/>
          <w:sz w:val="20"/>
        </w:rPr>
        <w:t/>
      </w:r>
    </w:p>
    <w:p>
      <w:pPr>
        <w:pStyle w:val="ab"/>
        <w:numPr>
          <w:numId w:val="2"/>
        </w:numPr>
      </w:pPr>
      <w:r>
        <w:t>03:30 科技板块投资热点：AI驱动PCB、金刚石散热与机器人</w:t>
      </w:r>
    </w:p>
    <w:p>
      <w:r>
        <w:rPr>
          <w:rFonts w:ascii="等线(中文正文)" w:hAnsi="等线(中文正文)" w:cs="等线(中文正文)" w:eastAsia="等线(中文正文)"/>
          <w:b w:val="false"/>
          <w:i w:val="false"/>
          <w:sz w:val="20"/>
        </w:rPr>
        <w:t>对话重点分析了科技板块中AI驱动的PCB行业需求激增，金刚石散热材料在算力芯片散热上的应用前景，以及机器人板块从测试到量产的行业趋势，建议投资者关注这些领域的投资机会。</w:t>
      </w:r>
    </w:p>
    <w:p>
      <w:r>
        <w:rPr>
          <w:rFonts w:ascii="等线(中文正文)" w:hAnsi="等线(中文正文)" w:cs="等线(中文正文)" w:eastAsia="等线(中文正文)"/>
          <w:b w:val="false"/>
          <w:i w:val="false"/>
          <w:sz w:val="20"/>
        </w:rPr>
        <w:t/>
      </w:r>
    </w:p>
    <w:p>
      <w:pPr>
        <w:pStyle w:val="ab"/>
        <w:numPr>
          <w:numId w:val="3"/>
        </w:numPr>
      </w:pPr>
      <w:r>
        <w:t>06:29 算力网政策强化与AI产业趋势跟踪</w:t>
      </w:r>
    </w:p>
    <w:p>
      <w:r>
        <w:rPr>
          <w:rFonts w:ascii="等线(中文正文)" w:hAnsi="等线(中文正文)" w:cs="等线(中文正文)" w:eastAsia="等线(中文正文)"/>
          <w:b w:val="false"/>
          <w:i w:val="false"/>
          <w:sz w:val="20"/>
        </w:rPr>
        <w:t>政策层面，算力网建设得到加强，多部门推动人工智能与先进制造业融合，地方出台AI产业规划。产业层面，算力迈入token计费时代，光纤与钨钢棒价格因供需矛盾暴涨，长江存储完成IPO辅导备案，国产存储取得重要进展。整体看，AI基建及相关产业链景气度强，科技行业投资机会显著。</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报告了科技行业近期的市场动态和投资机会。过去两周，全A指数高位震荡，但科技和顺周期消费板块表现分化明显，科技赛道如AI算力、半导体等经历高频波动，而传统板块承压。主要原因包括筹码拥挤和估值交换，以及资本开支和赚钱效应的推动。近期，AI和半导体产业资本开支旺盛，推动了板块上涨，特别是在GPU、HBM、MCU芯片等领域。此外，华为提出的“超定律”概念重塑了半导体产业逻辑，促进了技术创新。他强调，尽管短期内市场波动，但科技行业仍为投资主线，特别是PCB、机器人、金刚石散热等领域展现出强劲潜力。同时，政策支持和国产化进程为科技股带来利好。他建议持续关注科技领域投资机会，并感谢投资者参与讨论。</w:t>
      </w:r>
    </w:p>
    <w:p>
      <w:r>
        <w:rPr>
          <w:rFonts w:ascii="等线(中文正文)" w:hAnsi="等线(中文正文)" w:cs="等线(中文正文)" w:eastAsia="等线(中文正文)"/>
          <w:b w:val="false"/>
          <w:i w:val="false"/>
          <w:sz w:val="20"/>
        </w:rPr>
        <w:t/>
      </w:r>
    </w:p>
    <w:p>
      <w:pPr>
        <w:pStyle w:val="a7"/>
      </w:pPr>
      <w:r>
        <w:t>要点回顾</w:t>
      </w:r>
    </w:p>
    <w:p>
      <w:pPr>
        <w:pStyle w:val="ab"/>
      </w:pPr>
      <w:r>
        <w:t>最近两周A股市场的整体格局以及主要的结构性分化情况是什么？造成这种市场撕裂局面的主要原因有哪些？</w:t>
      </w:r>
    </w:p>
    <w:p>
      <w:r>
        <w:rPr>
          <w:rFonts w:ascii="等线(中文正文)" w:hAnsi="等线(中文正文)" w:cs="等线(中文正文)" w:eastAsia="等线(中文正文)"/>
          <w:b w:val="false"/>
          <w:i w:val="false"/>
          <w:sz w:val="20"/>
        </w:rPr>
        <w:t>发言人1：最近两周全A指数维持高位震荡盘整，但底部呈现剧烈的结构性分化。科技赛道如AI算力、半导体高端PCB等高频波动剧烈，而传统顺周期消费板块则持续承压。主要原因有两点：一是筹码拥挤和估值交换，由于英伟达财报超预期及三大运营商推出token通用套餐，大量资金和机构仓位快速集中于TMT和半导体材料，导致部分细分主题拥挤度飙升至历史高位，当行情出现调整时，短期获利盘分歧引发科技板块剧烈波动；二是资本开支和赚钱效应导致的资金抽血效应，市场存量博弈下，AI和饭报报道企业的产业链因确定性高的资本开支而吸引流动性，从而对其他传统板块造成资金虹吸效应。</w:t>
      </w:r>
    </w:p>
    <w:p>
      <w:r>
        <w:rPr>
          <w:rFonts w:ascii="等线(中文正文)" w:hAnsi="等线(中文正文)" w:cs="等线(中文正文)" w:eastAsia="等线(中文正文)"/>
          <w:b w:val="false"/>
          <w:i w:val="false"/>
          <w:sz w:val="20"/>
        </w:rPr>
        <w:t/>
      </w:r>
    </w:p>
    <w:p>
      <w:pPr>
        <w:pStyle w:val="ab"/>
      </w:pPr>
      <w:r>
        <w:t>什么是超定律的核心影响？对于科技板块未来布局有何建议？</w:t>
      </w:r>
    </w:p>
    <w:p>
      <w:r>
        <w:rPr>
          <w:rFonts w:ascii="等线(中文正文)" w:hAnsi="等线(中文正文)" w:cs="等线(中文正文)" w:eastAsia="等线(中文正文)"/>
          <w:b w:val="false"/>
          <w:i w:val="false"/>
          <w:sz w:val="20"/>
        </w:rPr>
        <w:t>发言人1：超定律的核心影响在于全球半导体过去依赖缩减尺寸换取性能的摩尔定律，中国半导体面临物理极限和制裁时，华为提出了超定律，通过器件电路、芯片系统全栈软硬协同设计，利用逻辑折叠等堆叠架构实现产业范式切换，以时间缩微替代几何缩微，从而大幅降低信号传播的时间常数。我们认为科技板块仍然是主线，近期高位波动是存量筹码洗牌和资金向真正具有业绩交付能力的科技龙头聚集的黄金窗口。持续拥抱AI科技板块，逢低加仓，并关注PCB、培育钻石和机器人等重点主题。</w:t>
      </w:r>
    </w:p>
    <w:p>
      <w:r>
        <w:rPr>
          <w:rFonts w:ascii="等线(中文正文)" w:hAnsi="等线(中文正文)" w:cs="等线(中文正文)" w:eastAsia="等线(中文正文)"/>
          <w:b w:val="false"/>
          <w:i w:val="false"/>
          <w:sz w:val="20"/>
        </w:rPr>
        <w:t/>
      </w:r>
    </w:p>
    <w:p>
      <w:pPr>
        <w:pStyle w:val="ab"/>
      </w:pPr>
      <w:r>
        <w:t>关于PCB和金刚石散热领域的投资逻辑是什么？</w:t>
      </w:r>
    </w:p>
    <w:p>
      <w:r>
        <w:rPr>
          <w:rFonts w:ascii="等线(中文正文)" w:hAnsi="等线(中文正文)" w:cs="等线(中文正文)" w:eastAsia="等线(中文正文)"/>
          <w:b w:val="false"/>
          <w:i w:val="false"/>
          <w:sz w:val="20"/>
        </w:rPr>
        <w:t>发言人1：PCB方面，AI算力驱动下需求爆发，高端产能极度紧张，头部厂商订单排期延长，且AI服务器对高多层、高频、高速及高级SDI有刚性需求，使得PCB价值量大幅提升，尤其是超算级AI服务器PCB的价值溢价高达30%至50%。金刚石散热领域，随着算力芯片功耗激增，大型服务器散热成为瓶颈，金刚石复合材料具有优异的导热性能，能够实现不改动功能架构前提下的控温升级，已在一些计算中心规模化应用，预计2026年将进入批量量产阶段。</w:t>
      </w:r>
    </w:p>
    <w:p>
      <w:r>
        <w:rPr>
          <w:rFonts w:ascii="等线(中文正文)" w:hAnsi="等线(中文正文)" w:cs="等线(中文正文)" w:eastAsia="等线(中文正文)"/>
          <w:b w:val="false"/>
          <w:i w:val="false"/>
          <w:sz w:val="20"/>
        </w:rPr>
        <w:t/>
      </w:r>
    </w:p>
    <w:p>
      <w:pPr>
        <w:pStyle w:val="ab"/>
      </w:pPr>
      <w:r>
        <w:t>对于机器人板块的投资逻辑以及相关政策动态如何？</w:t>
      </w:r>
    </w:p>
    <w:p>
      <w:r>
        <w:rPr>
          <w:rFonts w:ascii="等线(中文正文)" w:hAnsi="等线(中文正文)" w:cs="等线(中文正文)" w:eastAsia="等线(中文正文)"/>
          <w:b w:val="false"/>
          <w:i w:val="false"/>
          <w:sz w:val="20"/>
        </w:rPr>
        <w:t>发言人1：机器人板块在一季度因订单推迟而表现相对较落后，但随着特斯拉确认of use机器人投产、国家电网采购智能设备等事件发生，行业正从试点迈向集中采购通道。传感器电机和4-4硬件中价值量最高的核心环节是重点关注对象。此外，国家队统筹布局，算力上升为国家核心能力，相关政策不断落实强化，多个地区发布了AI及相关产业发展规划。</w:t>
      </w:r>
    </w:p>
    <w:p>
      <w:r>
        <w:rPr>
          <w:rFonts w:ascii="等线(中文正文)" w:hAnsi="等线(中文正文)" w:cs="等线(中文正文)" w:eastAsia="等线(中文正文)"/>
          <w:b w:val="false"/>
          <w:i w:val="false"/>
          <w:sz w:val="20"/>
        </w:rPr>
        <w:t/>
      </w:r>
    </w:p>
    <w:p>
      <w:pPr>
        <w:pStyle w:val="ab"/>
      </w:pPr>
      <w:r>
        <w:t>在算力付费模式和国产存储方面有何最新进展？</w:t>
      </w:r>
    </w:p>
    <w:p>
      <w:r>
        <w:rPr>
          <w:rFonts w:ascii="等线(中文正文)" w:hAnsi="等线(中文正文)" w:cs="等线(中文正文)" w:eastAsia="等线(中文正文)"/>
          <w:b w:val="false"/>
          <w:i w:val="false"/>
          <w:sz w:val="20"/>
        </w:rPr>
        <w:t>发言人1：三大运营商已启动token计费时代，智能体和应用付费市场前景广阔；AI基建供应链出现供需矛盾，光纤价格暴涨70%，以及国产存储领域，长江存储完成了IPO辅导备案，有望补齐A股存储板块投资标的。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2026-05-31T16:33:23Z</dcterms:created>
  <dc:creator>Apache POI</dc:creator>
</cp:coreProperties>
</file>