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地产——淡季不淡，重申从政策博弈到基本面驱动重要拐点 260529_导读</w:t>
      </w:r>
    </w:p>
    <w:p>
      <w:pPr>
        <w:pStyle w:val="a0"/>
        <w:jc w:val="center"/>
      </w:pPr>
      <w:r>
        <w:t>2026年06月01日 00:31</w:t>
      </w:r>
    </w:p>
    <w:p>
      <w:pPr>
        <w:pStyle w:val="a7"/>
      </w:pPr>
      <w:r>
        <w:t>关键词</w:t>
      </w:r>
    </w:p>
    <w:p>
      <w:r>
        <w:rPr>
          <w:rFonts w:ascii="等线(中文正文)" w:hAnsi="等线(中文正文)" w:cs="等线(中文正文)" w:eastAsia="等线(中文正文)"/>
          <w:b w:val="false"/>
          <w:i w:val="false"/>
          <w:sz w:val="20"/>
        </w:rPr>
        <w:t xml:space="preserve">城市更新 房地产 政策 资金 市场 基本面 投资 上市公司 销售 地方政府 债券 稳定 需求 供给 估值修复 改善 信心 趋势 收益 分析师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国泰海外地产组强调城市更新政策对推动房地产行业高质量发展的重要性，指出十四五规划将房地产定位为高质量发展，城市更新成为关键。讨论显示，城市更新投资规模约6.5万亿，资金来源变化，如政府性债券支持增加，预期对房地产市场有积极影响。分析了地产板块市场表现、投资者情绪及大股东支持，强调基本面改善对股价的正面作用。最后，对地产板块未来发展持积极预期，建议关注国资地产企业投资机会，凸显城市更新政策对行业及市场的重要影响。</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城市更新政策与市场热点解读</w:t>
      </w:r>
    </w:p>
    <w:p>
      <w:r>
        <w:rPr>
          <w:rFonts w:ascii="等线(中文正文)" w:hAnsi="等线(中文正文)" w:cs="等线(中文正文)" w:eastAsia="等线(中文正文)"/>
          <w:b w:val="false"/>
          <w:i w:val="false"/>
          <w:sz w:val="20"/>
        </w:rPr>
        <w:t>对话围绕城市更新政策展开，讨论了政策的具体内容、投资规模预估及市场影响。指出城市更新政策旨在推动高质量发展，总投资规模预计达6.5万亿，但实际投入受多种因素影响。强调政策引导与市场变化的关系，以及各地将根据自身特点调整工作量。</w:t>
      </w:r>
    </w:p>
    <w:p>
      <w:r>
        <w:rPr>
          <w:rFonts w:ascii="等线(中文正文)" w:hAnsi="等线(中文正文)" w:cs="等线(中文正文)" w:eastAsia="等线(中文正文)"/>
          <w:b w:val="false"/>
          <w:i w:val="false"/>
          <w:sz w:val="20"/>
        </w:rPr>
        <w:t/>
      </w:r>
    </w:p>
    <w:p>
      <w:pPr>
        <w:pStyle w:val="ab"/>
        <w:numPr>
          <w:numId w:val="2"/>
        </w:numPr>
      </w:pPr>
      <w:r>
        <w:t>02:54 城市更新与政府债券投资政策解析</w:t>
      </w:r>
    </w:p>
    <w:p>
      <w:r>
        <w:rPr>
          <w:rFonts w:ascii="等线(中文正文)" w:hAnsi="等线(中文正文)" w:cs="等线(中文正文)" w:eastAsia="等线(中文正文)"/>
          <w:b w:val="false"/>
          <w:i w:val="false"/>
          <w:sz w:val="20"/>
        </w:rPr>
        <w:t>对话探讨了城市更新及政府性债券投资的政策背景与实施细节，指出近年来政策突破允许地方自主发行债券，提高了项目审批效率和地方政府的主动性，促进了房地产市场的稳定与高质量发展。</w:t>
      </w:r>
    </w:p>
    <w:p>
      <w:r>
        <w:rPr>
          <w:rFonts w:ascii="等线(中文正文)" w:hAnsi="等线(中文正文)" w:cs="等线(中文正文)" w:eastAsia="等线(中文正文)"/>
          <w:b w:val="false"/>
          <w:i w:val="false"/>
          <w:sz w:val="20"/>
        </w:rPr>
        <w:t/>
      </w:r>
    </w:p>
    <w:p>
      <w:pPr>
        <w:pStyle w:val="ab"/>
        <w:numPr>
          <w:numId w:val="3"/>
        </w:numPr>
      </w:pPr>
      <w:r>
        <w:t>06:04 城市更新与房地产资金来源趋势分析</w:t>
      </w:r>
    </w:p>
    <w:p>
      <w:r>
        <w:rPr>
          <w:rFonts w:ascii="等线(中文正文)" w:hAnsi="等线(中文正文)" w:cs="等线(中文正文)" w:eastAsia="等线(中文正文)"/>
          <w:b w:val="false"/>
          <w:i w:val="false"/>
          <w:sz w:val="20"/>
        </w:rPr>
        <w:t>对话探讨了一季度房地产债券发行同比增长42%，城中村改造专项资金增长11.4倍等数据，指出二季度城市更新政策推动下，各地主政官员的主动性将增强，预计东部省份先行后，更多省份将效仿。投资者关注6.5万亿固定资产投入对居民收入和房价预期的稳定作用，认为政府性开支有助于解决传统性资产问题，新增资金来源对房地产外的产业链有积极影响，预计二三季度效果明显。</w:t>
      </w:r>
    </w:p>
    <w:p>
      <w:r>
        <w:rPr>
          <w:rFonts w:ascii="等线(中文正文)" w:hAnsi="等线(中文正文)" w:cs="等线(中文正文)" w:eastAsia="等线(中文正文)"/>
          <w:b w:val="false"/>
          <w:i w:val="false"/>
          <w:sz w:val="20"/>
        </w:rPr>
        <w:t/>
      </w:r>
    </w:p>
    <w:p>
      <w:pPr>
        <w:pStyle w:val="ab"/>
        <w:numPr>
          <w:numId w:val="4"/>
        </w:numPr>
      </w:pPr>
      <w:r>
        <w:t>08:26 地产板块股价走势分析与未来展望</w:t>
      </w:r>
    </w:p>
    <w:p>
      <w:r>
        <w:rPr>
          <w:rFonts w:ascii="等线(中文正文)" w:hAnsi="等线(中文正文)" w:cs="等线(中文正文)" w:eastAsia="等线(中文正文)"/>
          <w:b w:val="false"/>
          <w:i w:val="false"/>
          <w:sz w:val="20"/>
        </w:rPr>
        <w:t>对话深入分析了自5月起地产板块的股价走势，指出前期ETF赎回对市场造成了一次性冲击，但目前这一影响已告一段落。二季度二手房市场表现超出预期，新房市场也符合旺季特征，预计三季度市场将持续向好。投资者应关注基本面驱动下的板块转型，当前基本面未见重大利空，股价波动更多受情绪和资金流动影响，未来估值修复和市场表现值得期待。</w:t>
      </w:r>
    </w:p>
    <w:p>
      <w:r>
        <w:rPr>
          <w:rFonts w:ascii="等线(中文正文)" w:hAnsi="等线(中文正文)" w:cs="等线(中文正文)" w:eastAsia="等线(中文正文)"/>
          <w:b w:val="false"/>
          <w:i w:val="false"/>
          <w:sz w:val="20"/>
        </w:rPr>
        <w:t/>
      </w:r>
    </w:p>
    <w:p>
      <w:pPr>
        <w:pStyle w:val="ab"/>
        <w:numPr>
          <w:numId w:val="5"/>
        </w:numPr>
      </w:pPr>
      <w:r>
        <w:t>11:12 地产行业现状与未来趋势分析</w:t>
      </w:r>
    </w:p>
    <w:p>
      <w:r>
        <w:rPr>
          <w:rFonts w:ascii="等线(中文正文)" w:hAnsi="等线(中文正文)" w:cs="等线(中文正文)" w:eastAsia="等线(中文正文)"/>
          <w:b w:val="false"/>
          <w:i w:val="false"/>
          <w:sz w:val="20"/>
        </w:rPr>
        <w:t>对话深入探讨了地产行业自五月份以来大股东支持加强的现象，指出行业正逐步走向稳定与健康发展。分析认为，市场供需关系改善、销售稳定及政策预期利好，预示着地产板块具有较强的投资潜力，建议投资者关注。</w:t>
      </w:r>
    </w:p>
    <w:p>
      <w:r>
        <w:rPr>
          <w:rFonts w:ascii="等线(中文正文)" w:hAnsi="等线(中文正文)" w:cs="等线(中文正文)" w:eastAsia="等线(中文正文)"/>
          <w:b w:val="false"/>
          <w:i w:val="false"/>
          <w:sz w:val="20"/>
        </w:rPr>
        <w:t/>
      </w:r>
    </w:p>
    <w:p>
      <w:pPr>
        <w:pStyle w:val="ab"/>
        <w:numPr>
          <w:numId w:val="6"/>
        </w:numPr>
      </w:pPr>
      <w:r>
        <w:t>13:43 房地产市场现状与投资策略分析</w:t>
      </w:r>
    </w:p>
    <w:p>
      <w:r>
        <w:rPr>
          <w:rFonts w:ascii="等线(中文正文)" w:hAnsi="等线(中文正文)" w:cs="等线(中文正文)" w:eastAsia="等线(中文正文)"/>
          <w:b w:val="false"/>
          <w:i w:val="false"/>
          <w:sz w:val="20"/>
        </w:rPr>
        <w:t>对话深入探讨了当前房地产市场的变化，指出政策和市场新闻对销售转化率的影响显著提升，反映了购房者的真实需求和购买能力增强。分析认为，随着市场进入复苏阶段，转化率的提高为开发商带来了实质性的销售增长预期。此外，讨论了房地产与其他资产类别的比较，特别是在人民币升值预期下，房地产的吸引力增强。针对投资策略，建议关注被低估的国资板块和物业股，如保利、华润等，同时提及龙湖、新城等民营房企的机会。整体上，对话提供了对房地产市场趋势和投资机会的深刻洞察。</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首先回顾了自1月1日以来城市更新政策的市场关注度，指出在十四五规划的引领下，城市更新的投资规模预计达到6.5万亿人民币，显示出政府对这一领域的重视和支持。他还提到了政府性债券在城市更新项目中的关键作用，表明了金融工具在促进房地产市场健康发展中的重要地位。
随后，他深入分析了房地产市场的基本面，包括二手房市场的活跃和新房销售情况，以及大股东对市场的积极影响。尽管市场面临不确定性，他基于对政策预期和市场基本面改善的判断，表达了对房地产板块未来表现的乐观态度。
最后，他向投资者发出建议，在市场处于筑底阶段时，应重点关注被严重低估的国有资产类公司，认为这些公司在当前市场环境下具有较高的投资价值。发言人强调，会议内容仅限于国泰海通证券客户内部讨论，不得对外泄露。
总体而言，他的发言围绕城市更新政策、房地产市场基本面及投资策略展开，强调了政策支持和市场潜力，建议投资者在当前市场环境下寻找投资机会，同时保护会议内容不被非授权传播。</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问：城市更新政策方面，最近有哪些重大进展和内容需要关注？这次城市更新的投资规模如何，与以往相比有何不同？</w:t>
      </w:r>
    </w:p>
    <w:p>
      <w:r>
        <w:rPr>
          <w:rFonts w:ascii="等线(中文正文)" w:hAnsi="等线(中文正文)" w:cs="等线(中文正文)" w:eastAsia="等线(中文正文)"/>
          <w:b w:val="false"/>
          <w:i w:val="false"/>
          <w:sz w:val="20"/>
        </w:rPr>
        <w:t>发言人1 答：最近公布的十五五城市更新整体测试更新规划中，对城市更新的工作量、更新数量、内容特征及具体方向做了详细规划。其中，重点在于主体旧房改造、老旧小区改造、老旧街区改造、城市城中村改造、历史建筑修缮以及体育场馆、城市公园绿地等项目的投资规模。预计总投资规模将达到约6.5万亿左右。此次城市更新的投资规模高达6.5万亿，与十年前股改规划时的总投资规模相近，但考虑到各地实际情况和特点，实际投资额可能会有所变化。同时，本次规划中提到的支持政府性债券向城市更新投入的政策是一项新举措，旨在提高资金投入效率，并且已有部分政策在规划出台前已开始落地实施。</w:t>
      </w:r>
    </w:p>
    <w:p>
      <w:r>
        <w:rPr>
          <w:rFonts w:ascii="等线(中文正文)" w:hAnsi="等线(中文正文)" w:cs="等线(中文正文)" w:eastAsia="等线(中文正文)"/>
          <w:b w:val="false"/>
          <w:i w:val="false"/>
          <w:sz w:val="20"/>
        </w:rPr>
        <w:t/>
      </w:r>
    </w:p>
    <w:p>
      <w:pPr>
        <w:pStyle w:val="ab"/>
      </w:pPr>
      <w:r>
        <w:t>发言人1 问：政府性债券用于城市更新的资金来源和审批流程是怎样的？</w:t>
      </w:r>
    </w:p>
    <w:p>
      <w:r>
        <w:rPr>
          <w:rFonts w:ascii="等线(中文正文)" w:hAnsi="等线(中文正文)" w:cs="等线(中文正文)" w:eastAsia="等线(中文正文)"/>
          <w:b w:val="false"/>
          <w:i w:val="false"/>
          <w:sz w:val="20"/>
        </w:rPr>
        <w:t>发言人1 答：政府新债券用于城市更新并非新开辟的资金来源，而是之前就已存在，但由于受到房地产调控政策的影响，过去在手续流程和主动性上可能存在一定制约。不过，今年在制度安排上有所突破，自省自发省市范围扩大，使得地方政府在解决城市更新问题上有更大的灵活性和便利度，审批流程也更为便捷高效。</w:t>
      </w:r>
    </w:p>
    <w:p>
      <w:r>
        <w:rPr>
          <w:rFonts w:ascii="等线(中文正文)" w:hAnsi="等线(中文正文)" w:cs="等线(中文正文)" w:eastAsia="等线(中文正文)"/>
          <w:b w:val="false"/>
          <w:i w:val="false"/>
          <w:sz w:val="20"/>
        </w:rPr>
        <w:t/>
      </w:r>
    </w:p>
    <w:p>
      <w:pPr>
        <w:pStyle w:val="ab"/>
      </w:pPr>
      <w:r>
        <w:t>发言人1 问：从债券发行数据来看，当前房地产资金来源状况如何？</w:t>
      </w:r>
    </w:p>
    <w:p>
      <w:r>
        <w:rPr>
          <w:rFonts w:ascii="等线(中文正文)" w:hAnsi="等线(中文正文)" w:cs="等线(中文正文)" w:eastAsia="等线(中文正文)"/>
          <w:b w:val="false"/>
          <w:i w:val="false"/>
          <w:sz w:val="20"/>
        </w:rPr>
        <w:t>发言人1 答：根据我们国家资产组的跟踪数据，一季度房地产整体债券发行同比增长42%，与城市相关的资金发行接近1200亿，同比增长7%；而城中村改造的专项基金发行超过500亿，同比增长11.4倍。随着十五五规划对城市更新规模路径和方法的明确，预计后续相关资金来源会进一步增加。</w:t>
      </w:r>
    </w:p>
    <w:p>
      <w:r>
        <w:rPr>
          <w:rFonts w:ascii="等线(中文正文)" w:hAnsi="等线(中文正文)" w:cs="等线(中文正文)" w:eastAsia="等线(中文正文)"/>
          <w:b w:val="false"/>
          <w:i w:val="false"/>
          <w:sz w:val="20"/>
        </w:rPr>
        <w:t/>
      </w:r>
    </w:p>
    <w:p>
      <w:pPr>
        <w:pStyle w:val="ab"/>
      </w:pPr>
      <w:r>
        <w:t>发言人1 问：从二季度开始，各地主政官员在与地产相关的业务上有哪些积极变化？</w:t>
      </w:r>
    </w:p>
    <w:p>
      <w:r>
        <w:rPr>
          <w:rFonts w:ascii="等线(中文正文)" w:hAnsi="等线(中文正文)" w:cs="等线(中文正文)" w:eastAsia="等线(中文正文)"/>
          <w:b w:val="false"/>
          <w:i w:val="false"/>
          <w:sz w:val="20"/>
        </w:rPr>
        <w:t>发言人1 答：从二季度开始，各地主政官员在涉及地产相关业务时表现出更强的主动性，并且拥有更多的权利进行改革和调控。政策上允许并提供了实施手段，东部省份或主要省份在尝试后取得良好效果，预计更多省份将效仿这些举措，推动与地产相关的外部资金来源增加。</w:t>
      </w:r>
    </w:p>
    <w:p>
      <w:r>
        <w:rPr>
          <w:rFonts w:ascii="等线(中文正文)" w:hAnsi="等线(中文正文)" w:cs="等线(中文正文)" w:eastAsia="等线(中文正文)"/>
          <w:b w:val="false"/>
          <w:i w:val="false"/>
          <w:sz w:val="20"/>
        </w:rPr>
        <w:t/>
      </w:r>
    </w:p>
    <w:p>
      <w:pPr>
        <w:pStyle w:val="ab"/>
      </w:pPr>
      <w:r>
        <w:t>发言人1 问：关于6.5万亿总投入中房地产和其他领域的分配情况如何？</w:t>
      </w:r>
    </w:p>
    <w:p>
      <w:r>
        <w:rPr>
          <w:rFonts w:ascii="等线(中文正文)" w:hAnsi="等线(中文正文)" w:cs="等线(中文正文)" w:eastAsia="等线(中文正文)"/>
          <w:b w:val="false"/>
          <w:i w:val="false"/>
          <w:sz w:val="20"/>
        </w:rPr>
        <w:t>发言人1 答：虽然没有明确说明资金在房地产和其他领域的具体分配比例，但总体固定资产投入规模扩大有助于居民收入和房价预期的稳定，对传统性资产及整体传统产业问题的解决都有积极影响，同时也为除传统方向之外的新增资金来源带来正面作用。</w:t>
      </w:r>
    </w:p>
    <w:p>
      <w:r>
        <w:rPr>
          <w:rFonts w:ascii="等线(中文正文)" w:hAnsi="等线(中文正文)" w:cs="等线(中文正文)" w:eastAsia="等线(中文正文)"/>
          <w:b w:val="false"/>
          <w:i w:val="false"/>
          <w:sz w:val="20"/>
        </w:rPr>
        <w:t/>
      </w:r>
    </w:p>
    <w:p>
      <w:pPr>
        <w:pStyle w:val="ab"/>
      </w:pPr>
      <w:r>
        <w:t>发言人1 问：城市更新对相关产业链的影响是什么？</w:t>
      </w:r>
    </w:p>
    <w:p>
      <w:r>
        <w:rPr>
          <w:rFonts w:ascii="等线(中文正文)" w:hAnsi="等线(中文正文)" w:cs="等线(中文正文)" w:eastAsia="等线(中文正文)"/>
          <w:b w:val="false"/>
          <w:i w:val="false"/>
          <w:sz w:val="20"/>
        </w:rPr>
        <w:t>发言人1 答：城市更新将带动建筑建材及消费链上其他环节的需求增长，只要投资持续落实且资金到位率提高，整个产业链将经历一个效果逐渐变好的过程。</w:t>
      </w:r>
    </w:p>
    <w:p>
      <w:r>
        <w:rPr>
          <w:rFonts w:ascii="等线(中文正文)" w:hAnsi="等线(中文正文)" w:cs="等线(中文正文)" w:eastAsia="等线(中文正文)"/>
          <w:b w:val="false"/>
          <w:i w:val="false"/>
          <w:sz w:val="20"/>
        </w:rPr>
        <w:t/>
      </w:r>
    </w:p>
    <w:p>
      <w:pPr>
        <w:pStyle w:val="ab"/>
      </w:pPr>
      <w:r>
        <w:t>发言人1 问：近期地产板块股价走势如何？有哪些关键因素影响了板块表现？目前地产板块的基本面情况如何？未来有何展望？</w:t>
      </w:r>
    </w:p>
    <w:p>
      <w:r>
        <w:rPr>
          <w:rFonts w:ascii="等线(中文正文)" w:hAnsi="等线(中文正文)" w:cs="等线(中文正文)" w:eastAsia="等线(中文正文)"/>
          <w:b w:val="false"/>
          <w:i w:val="false"/>
          <w:sz w:val="20"/>
        </w:rPr>
        <w:t>发言人1 答：自五月初板块反弹以来，市场在5月中后段又重新下跌，主要原因是短期内对于地产板块利好的预期尚未得到稳定确认，导致资金卖出筹码。此外，有意外因素影响了地产板块，例如资金从ETF中赎回，造成地产龙头公司股价大幅下跌。目前，这些资金赎回行为已告一段落，从资金层面看，一次性冲击基本结束。二季度二手房市场呈现淡季不淡的特点，而新房市场在5月和6月随着推盘量增大，符合旺季特征。进入三季度，若7、8月份仍保持旺季表现，则板块估值修复和市场上行将更加明显。同时，若地方政府在城市更新和相关基础设施建设上有实际投入，将进一步增强市场预期。</w:t>
      </w:r>
    </w:p>
    <w:p>
      <w:r>
        <w:rPr>
          <w:rFonts w:ascii="等线(中文正文)" w:hAnsi="等线(中文正文)" w:cs="等线(中文正文)" w:eastAsia="等线(中文正文)"/>
          <w:b w:val="false"/>
          <w:i w:val="false"/>
          <w:sz w:val="20"/>
        </w:rPr>
        <w:t/>
      </w:r>
    </w:p>
    <w:p>
      <w:pPr>
        <w:pStyle w:val="ab"/>
      </w:pPr>
      <w:r>
        <w:t>发言人1 问：大股东对于地产行业的支持有哪些体现？</w:t>
      </w:r>
    </w:p>
    <w:p>
      <w:r>
        <w:rPr>
          <w:rFonts w:ascii="等线(中文正文)" w:hAnsi="等线(中文正文)" w:cs="等线(中文正文)" w:eastAsia="等线(中文正文)"/>
          <w:b w:val="false"/>
          <w:i w:val="false"/>
          <w:sz w:val="20"/>
        </w:rPr>
        <w:t>发言人1 答：近期多个地产公司大股东通过盘活存量资产、参与定增、直接注资等方式积极支持地产行业，显示出与前几年相比，在时间节点上对市场稳定和上市公司主体稳定的有力推动，表明行业正走向稳定和健康发展。</w:t>
      </w:r>
    </w:p>
    <w:p>
      <w:r>
        <w:rPr>
          <w:rFonts w:ascii="等线(中文正文)" w:hAnsi="等线(中文正文)" w:cs="等线(中文正文)" w:eastAsia="等线(中文正文)"/>
          <w:b w:val="false"/>
          <w:i w:val="false"/>
          <w:sz w:val="20"/>
        </w:rPr>
        <w:t/>
      </w:r>
    </w:p>
    <w:p>
      <w:pPr>
        <w:pStyle w:val="ab"/>
      </w:pPr>
      <w:r>
        <w:t>发言人1 问：当前新房市场供应及需求状况如何？</w:t>
      </w:r>
    </w:p>
    <w:p>
      <w:r>
        <w:rPr>
          <w:rFonts w:ascii="等线(中文正文)" w:hAnsi="等线(中文正文)" w:cs="等线(中文正文)" w:eastAsia="等线(中文正文)"/>
          <w:b w:val="false"/>
          <w:i w:val="false"/>
          <w:sz w:val="20"/>
        </w:rPr>
        <w:t>发言人1 答：由于去年起市场进一步收缩，今年新房有效供应有限，但在超量收入情况下，市场正逐步走向稳定。随着销售数据的逐步释放，龙头公司的利润率预计将回归并保持稳定，这将促使更多上市公司在三季度后半段主动表达今年销售达标，从而推动股价更有信心的表现。</w:t>
      </w:r>
    </w:p>
    <w:p>
      <w:r>
        <w:rPr>
          <w:rFonts w:ascii="等线(中文正文)" w:hAnsi="等线(中文正文)" w:cs="等线(中文正文)" w:eastAsia="等线(中文正文)"/>
          <w:b w:val="false"/>
          <w:i w:val="false"/>
          <w:sz w:val="20"/>
        </w:rPr>
        <w:t/>
      </w:r>
    </w:p>
    <w:p>
      <w:pPr>
        <w:pStyle w:val="ab"/>
      </w:pPr>
      <w:r>
        <w:t>发言人1 问：目前地产板块的股价表现和基本面情况如何？</w:t>
      </w:r>
    </w:p>
    <w:p>
      <w:r>
        <w:rPr>
          <w:rFonts w:ascii="等线(中文正文)" w:hAnsi="等线(中文正文)" w:cs="等线(中文正文)" w:eastAsia="等线(中文正文)"/>
          <w:b w:val="false"/>
          <w:i w:val="false"/>
          <w:sz w:val="20"/>
        </w:rPr>
        <w:t>发言人1 答：目前地产板块从2800点附近上涨至4000点上下，其中基本面在改善，尤其是结构上的优化。尽管股价处于低位徘徊，但更大的利空其实并不存在。随着政策预期和总量指标逐步到位，建议投资者重点关注地产板块及其投资机会。</w:t>
      </w:r>
    </w:p>
    <w:p>
      <w:r>
        <w:rPr>
          <w:rFonts w:ascii="等线(中文正文)" w:hAnsi="等线(中文正文)" w:cs="等线(中文正文)" w:eastAsia="等线(中文正文)"/>
          <w:b w:val="false"/>
          <w:i w:val="false"/>
          <w:sz w:val="20"/>
        </w:rPr>
        <w:t/>
      </w:r>
    </w:p>
    <w:p>
      <w:pPr>
        <w:pStyle w:val="ab"/>
      </w:pPr>
      <w:r>
        <w:t>发言人1 问：今年与去年开发商所面临的市场变化有哪些不同？</w:t>
      </w:r>
    </w:p>
    <w:p>
      <w:r>
        <w:rPr>
          <w:rFonts w:ascii="等线(中文正文)" w:hAnsi="等线(中文正文)" w:cs="等线(中文正文)" w:eastAsia="等线(中文正文)"/>
          <w:b w:val="false"/>
          <w:i w:val="false"/>
          <w:sz w:val="20"/>
        </w:rPr>
        <w:t>发言人1 答：今年与去年相比，尽管市场仍受政策影响，但之前政策带来的到访率提升并未有效转化为销售。而今年各项政策出台后，虽然到访率提升不明显，但转化率显著提高，说明真正有购房意愿和能力的群体在增多，这一轮房地产市场的虚热现象较少，实体内容较多，开发商的销售和增长预期以及利用率水平都在提升。</w:t>
      </w:r>
    </w:p>
    <w:p>
      <w:r>
        <w:rPr>
          <w:rFonts w:ascii="等线(中文正文)" w:hAnsi="等线(中文正文)" w:cs="等线(中文正文)" w:eastAsia="等线(中文正文)"/>
          <w:b w:val="false"/>
          <w:i w:val="false"/>
          <w:sz w:val="20"/>
        </w:rPr>
        <w:t/>
      </w:r>
    </w:p>
    <w:p>
      <w:pPr>
        <w:pStyle w:val="ab"/>
      </w:pPr>
      <w:r>
        <w:t>发言人1 问：对于二手房市场的看法是什么？</w:t>
      </w:r>
    </w:p>
    <w:p>
      <w:r>
        <w:rPr>
          <w:rFonts w:ascii="等线(中文正文)" w:hAnsi="等线(中文正文)" w:cs="等线(中文正文)" w:eastAsia="等线(中文正文)"/>
          <w:b w:val="false"/>
          <w:i w:val="false"/>
          <w:sz w:val="20"/>
        </w:rPr>
        <w:t>发言人1 答：二手房市场更加明确，当前地产的租售比与其他大宗商品相比并不逊色。尤其在人民币升值预期强烈的背景下，相比其他资产类别，如定存、固收加、海外债券等，房地产的投资价值愈发凸显。此外，由于卖房后难以找到合适的替代资产，房东们倾向于保留房产，导致存量挂牌量在交易量放大后减少，整个市场出现惜售现象，卖方加价出售，这使得对于地产的各项观点预期发生转变。</w:t>
      </w:r>
    </w:p>
    <w:p>
      <w:r>
        <w:rPr>
          <w:rFonts w:ascii="等线(中文正文)" w:hAnsi="等线(中文正文)" w:cs="等线(中文正文)" w:eastAsia="等线(中文正文)"/>
          <w:b w:val="false"/>
          <w:i w:val="false"/>
          <w:sz w:val="20"/>
        </w:rPr>
        <w:t/>
      </w:r>
    </w:p>
    <w:p>
      <w:pPr>
        <w:pStyle w:val="ab"/>
      </w:pPr>
      <w:r>
        <w:t>发言人1 问：对于当前房地产市场的投资建议是什么？</w:t>
      </w:r>
    </w:p>
    <w:p>
      <w:r>
        <w:rPr>
          <w:rFonts w:ascii="等线(中文正文)" w:hAnsi="等线(中文正文)" w:cs="等线(中文正文)" w:eastAsia="等线(中文正文)"/>
          <w:b w:val="false"/>
          <w:i w:val="false"/>
          <w:sz w:val="20"/>
        </w:rPr>
        <w:t>发言人1 答：建议二级市场的投资者亲身去实地感受市场情况，比如参观案场、与中介交流或亲自考察二手房市场。目前国资板块整体处于严重低估状态，PB还在0.4到0.6倍区间，可以优先考虑购买折价较高的国资央企股票，如保利、蛇口、华润、中海等。对于二线国资和民营房企如绿城、金茂、建发、越秀华发、龙湖和新城等，也可适当关注。开发板块弹性出来后，物业板块如华润、中海等也是较好的投资选择。</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2026-05-31T16:33:24Z</dcterms:created>
  <dc:creator>Apache POI</dc:creator>
</cp:coreProperties>
</file>