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东吴策略 - 市场风格会切换吗.-周末一刻钟系列(一百一十二) 260531_原文</w:t>
      </w:r>
    </w:p>
    <w:p>
      <w:pPr>
        <w:jc w:val="center"/>
      </w:pPr>
      <w:r>
        <w:rPr>
          <w:rFonts w:ascii="等线(中文正文)" w:hAnsi="等线(中文正文)" w:cs="等线(中文正文)" w:eastAsia="等线(中文正文)"/>
          <w:b w:val="false"/>
          <w:i w:val="false"/>
          <w:sz w:val="20"/>
        </w:rPr>
        <w:t>2026年05月31日 23:01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领导晚上好，我是东吴策略林云辉。那么本周的这个策略周观点是市场风格是否会切换。那上这周五以科半导体为代表的这个科创风格是出现了一个显著的回调。那么以白酒消费为代表的这个顺周期风格是出现了一个反弹，因此市场对于这个风格切换的讨论也是比较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00:21</w:t>
      </w:r>
    </w:p>
    <w:p>
      <w:r>
        <w:rPr>
          <w:rFonts w:ascii="等线(中文正文)" w:hAnsi="等线(中文正文)" w:cs="等线(中文正文)" w:eastAsia="等线(中文正文)"/>
          <w:b w:val="false"/>
          <w:i w:val="false"/>
          <w:sz w:val="20"/>
        </w:rPr>
        <w:t>首先就是我们来聊一下，我们去怎么样去理解这样的一个风格周期。其实我们可以看到就是说是A股市场自19年以来，它演绎的都是一些结构性的行情，那本质上就是风格性的这种行情。比方说19到21年是核心资产的这个行情，是代表一类的这个成长资产。那么22到24年演绎的是这个红利行情，就是一些高股息这样一种资产。那是25年24年底到现在，以AI硬件为代表的科技行情再度占优，它本质上都是一些风格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00:51</w:t>
      </w:r>
    </w:p>
    <w:p>
      <w:r>
        <w:rPr>
          <w:rFonts w:ascii="等线(中文正文)" w:hAnsi="等线(中文正文)" w:cs="等线(中文正文)" w:eastAsia="等线(中文正文)"/>
          <w:b w:val="false"/>
          <w:i w:val="false"/>
          <w:sz w:val="20"/>
        </w:rPr>
        <w:t>那我们从一个策略的视角去来看，一个比较重要的宏观因子就是全球流动性。过往其实美债利率是很难去表征全球流动它的这个宽度这样的一个代表性的这样的一个指标。所以我们可以看到就是说美债利率它其实跟A股的这个风格展现出了比较强相关的这种关系。表现为美债利率的这个上行，那么就是价值风格会相对占优美债利率就是下行的成长风格就会相对占优，因此从一个策略的这种视角，市场风格周期上这种演绎，它本质上是由于流动性周期和这个产业周期去共同驱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w:t>
      </w:r>
    </w:p>
    <w:p>
      <w:r>
        <w:rPr>
          <w:rFonts w:ascii="等线(中文正文)" w:hAnsi="等线(中文正文)" w:cs="等线(中文正文)" w:eastAsia="等线(中文正文)"/>
          <w:b w:val="false"/>
          <w:i w:val="false"/>
          <w:sz w:val="20"/>
        </w:rPr>
        <w:t>流动性周期就是我们之前所去提到的这个全球流动性。产业周期就是本身当下怎么样的一个科技，它的这个产业趋势这样的一种发展。长期的这个产业趋势是带有行情去走出超额收益这样的一个根本，它是决定了一个板块的长期景气方向的。流动性环境是重要的估值放大器，那么宽松的资金环境，其实是能够为成长赛道去提供估值溢价，从而去带来行情弹性的。可以看到本轮的这个行情，科技行情的演绎也是这样的。行情走强的核心动力是来自于AI产业技术加速迭代，产业趋势持续向上的这种高景气逻辑，也就是说AI通胀那么偏宽松的这个全球流动性环境，是进一步打开了这个科技成长板块的这样的一个估值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02:13</w:t>
      </w:r>
    </w:p>
    <w:p>
      <w:r>
        <w:rPr>
          <w:rFonts w:ascii="等线(中文正文)" w:hAnsi="等线(中文正文)" w:cs="等线(中文正文)" w:eastAsia="等线(中文正文)"/>
          <w:b w:val="false"/>
          <w:i w:val="false"/>
          <w:sz w:val="20"/>
        </w:rPr>
        <w:t>其实我们看到比如说这个运行的特征是跟2021年的这个新能源行情是比较相似的那当年的这个新能源行情是再到是凭借这个高景气的产业逻辑而成为了市场的这个主线，叠加当时是处在一个全球共振宽这样的一个阶段，因此估值也持续扩张，走出了一个比较强劲的结构性行情。从历史运行的这个规律来看，流动性周期的这个拐点，通常会领先这个产业周期大概三个季度。那么2021年初，美国通胀预期快速抬头之后，美债十年期的收益率就出现了上行。全球流动性的迎来了边际收紧的拐点。核心资产的这种有序DCF估值蓄势，而是被证明估值收缩是导致是2021年初市场整体走弱的这样的一原因。但是我们看到由于当时的这个新能源产业趋势比较强，行业基产业基本面的这个韧性，是对冲了流动性收紧的这样的一个负面冲击。板块的这个估值调整之后，是再度震荡走强。后续的话其实就主要是由盈利，也就是说景气去驱动，直到2021年的这个四季度，才最终筑紧，结束这样的一个主线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03:20</w:t>
      </w:r>
    </w:p>
    <w:p>
      <w:r>
        <w:rPr>
          <w:rFonts w:ascii="等线(中文正文)" w:hAnsi="等线(中文正文)" w:cs="等线(中文正文)" w:eastAsia="等线(中文正文)"/>
          <w:b w:val="false"/>
          <w:i w:val="false"/>
          <w:sz w:val="20"/>
        </w:rPr>
        <w:t>其实我们回到本轮的这样的一个行情里面来看，我们认为就是说4月8号这一轮这个科技加速这个行情，是事实上也已经充分去计价了这个宏观流动性改善这样的一个预期。我们可以看到就是说这一轮行情的这个起点，它本身是什么？是4月8号特朗普去开口，市场形成了这样的一个中东局势缓和，油价下行，通胀压力回落，然后降息空间打开这样的一个宏观预期。同时我们可以看到就是说AI的这个产业趋势也是在加速发展，因此指数出现了一个单边上行，是对油价脱敏。那沪指是再创了年内的这个新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03:57</w:t>
      </w:r>
    </w:p>
    <w:p>
      <w:r>
        <w:rPr>
          <w:rFonts w:ascii="等线(中文正文)" w:hAnsi="等线(中文正文)" w:cs="等线(中文正文)" w:eastAsia="等线(中文正文)"/>
          <w:b w:val="false"/>
          <w:i w:val="false"/>
          <w:sz w:val="20"/>
        </w:rPr>
        <w:t>但是值得警惕的是啊，市场其实是一个做了一个简单的这种线性外推的这个宏观逻辑，这样的话是会跟实际的这个宏观因子演绎的这个路径，是存在一定的偏离可能性的。你从现实运行来看市场其实预期预预期的这个核心是油价会下行。但是大宗商品的这个供需，包括地缘局势的这种变化，其实都很难是一蹴而就的。真实的这个宏观变量修复，它是需要一个渐进式的这种过程，难以按照理想的这种线性路径去演进。一方面原油的这个供给端修复结构是具备较强的滞后性的，油价会存在更粘性的这种特征。即便地缘冲突边际缓和，原油产能重启，那么跨境物流运输的恢复，包括全球原油库存结构的调整，都是一个循序渐进的这样的一个过程，难以在短期去快速兑现供给增量。这其实意味着油价下行的这个节奏大概率是偏慢的，回落空间也是比较有限，很难完全匹配市场快速下行的这样的一个性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05:01</w:t>
      </w:r>
    </w:p>
    <w:p>
      <w:r>
        <w:rPr>
          <w:rFonts w:ascii="等线(中文正文)" w:hAnsi="等线(中文正文)" w:cs="等线(中文正文)" w:eastAsia="等线(中文正文)"/>
          <w:b w:val="false"/>
          <w:i w:val="false"/>
          <w:sz w:val="20"/>
        </w:rPr>
        <w:t>那另一方面，地缘局势的这种改善其实是具备边际性和不确定性的。本轮仅为停火谈判的阶段性推进，中东局势他依然有反复的可能性，并非确定性的这种彻底好转。那么当前市场其实是对这个地缘风险的消退，包括油价下行是进行了一个单边定价，一定程度上是简化了这个复杂的地缘和大宗商品供需逻辑，存在预期过度乐观这样的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05:27</w:t>
      </w:r>
    </w:p>
    <w:p>
      <w:r>
        <w:rPr>
          <w:rFonts w:ascii="等线(中文正文)" w:hAnsi="等线(中文正文)" w:cs="等线(中文正文)" w:eastAsia="等线(中文正文)"/>
          <w:b w:val="false"/>
          <w:i w:val="false"/>
          <w:sz w:val="20"/>
        </w:rPr>
        <w:t>其实回顾历史我们可以看到，就说2022年的这个市场行情，也跟当前有比较高度相似的这样的一个博弈逻辑。当时市场其实是去交易这个经济常态化的预期，认为随着这个消消消费场景的回归之后，内需就会迎来显著的改善，进而去带动这个基本面的修复。A股是在2022年的11月1号就开始去反弹。那么截止到2023年1月20号，整体的这个区间涨幅沪指是达到了12.8%。这个时候上顺周期的这些板块，也就是说预期经济常态化之后，最为受益的这些方向是涨幅居前。比方说消费龙头中国中免上涨43.7%，那一些白酒权重，包括贵州茅台、泸州老窖、五粮液这些也有比较高的这种涨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06:12</w:t>
      </w:r>
    </w:p>
    <w:p>
      <w:r>
        <w:rPr>
          <w:rFonts w:ascii="等线(中文正文)" w:hAnsi="等线(中文正文)" w:cs="等线(中文正文)" w:eastAsia="等线(中文正文)"/>
          <w:b w:val="false"/>
          <w:i w:val="false"/>
          <w:sz w:val="20"/>
        </w:rPr>
        <w:t>但是我们可以看到就是说后续宏观基本面的这种实际演绎，其实并没有符合市场线性推演的这样一种路径。2023年整体的这个经济复苏斜率都是相对的平缓，整体修复的这个力度其实是弱于市场最乐观的这种预期。那么核心原因在于整个地产市场是进入了一个新常态，居民财富效应是受到了一定的冲击，整体对消费的能力形成了一定的约束，消费的复苏就呈现了缓慢且渐进的这样的一个过程，无法跟随消费场景的放开，从而去实现快速的反弹，最终使得宏观的复苏节奏是不及市场线性的。这个预期。前期透支的这个复苏预期是逐步修正的，行情也随之迎来了一个调整。其实我们可以看到，就是这两轮行情，它本质上都是一个预期博弈，而非价值博弈的这样的一个状态。市场习惯去通过线性外推的这个思维，将阶段性的这种边际利好推演为确定性的这个基本面改善趋势，却忽视了宏观经济的这种内在复杂性。那么各类的这种宏观因子，也很难按照市场去设想的这种线性路径在顺畅的演绎，最终使得市场预期与现实的这个走势出现了一个比较明显的偏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07:22</w:t>
      </w:r>
    </w:p>
    <w:p>
      <w:r>
        <w:rPr>
          <w:rFonts w:ascii="等线(中文正文)" w:hAnsi="等线(中文正文)" w:cs="等线(中文正文)" w:eastAsia="等线(中文正文)"/>
          <w:b w:val="false"/>
          <w:i w:val="false"/>
          <w:sz w:val="20"/>
        </w:rPr>
        <w:t>那么这类行情普遍具备买预期卖现实这样的一个特征，在预期发酵的这个阶段，市场往往会去提前透支各类的利好，一旦后续基本面与宏观数据无法印证此前的这个乐观判断，前期形成这种一致交易逻辑，便存在逆转的风险。而市场行情也将随之出现一个比较明显的波动。我们需要去提示的就是当下其实市场对于宏观流动性宽松这样的一个预期交易是比较极致的。因此后续他可能会有一些逆转的这种风险。事实上我们也去判断当下其实整体的这个全球流动性周期，是进入了一个切换的这个窗口了。如果后续油价维持一个高粘性运行的这样的一个状态，通胀的回落的这个节奏将不及市场预期。那么此前市场一致推演的这种降息逻辑也将逐步被证明，那么全球流动性的可能就会迎来拐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08:13</w:t>
      </w:r>
    </w:p>
    <w:p>
      <w:r>
        <w:rPr>
          <w:rFonts w:ascii="等线(中文正文)" w:hAnsi="等线(中文正文)" w:cs="等线(中文正文)" w:eastAsia="等线(中文正文)"/>
          <w:b w:val="false"/>
          <w:i w:val="false"/>
          <w:sz w:val="20"/>
        </w:rPr>
        <w:t>我们从历史运行的这个规律来看，全球流动性其实具备一个比较鲜明的周期性特征，一轮完整的流动性周期时长大概是五年的时间，其中流动性宽松扩张下的上行阶段，平均运行的这个区间就在2年到2.5年。当前，如果我们以2024年为为区间的这种开始的话，整体的这个上行周期也已经逐步走上尾声，是接近2年到2年的2050这样的一个时长，那么时长的话其实正处在这个周期由升转降的这样的一个初期阶段。那么此前持续释放的这种宽松红利，也已经逐步在消退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08:49</w:t>
      </w:r>
    </w:p>
    <w:p>
      <w:r>
        <w:rPr>
          <w:rFonts w:ascii="等线(中文正文)" w:hAnsi="等线(中文正文)" w:cs="等线(中文正文)" w:eastAsia="等线(中文正文)"/>
          <w:b w:val="false"/>
          <w:i w:val="false"/>
          <w:sz w:val="20"/>
        </w:rPr>
        <w:t>同时我们可以看到，其实当下其全球央行的这个政策基调也是出现了一个边际性边际上的这种转变。加息的这个央行比例是有所抬升的。具体来看，我们看。澳洲联储五月加息25BB是将政策利率上调至4.35%，而是该行第三次加息。英国央行虽然维持了这个基准利率变，但是内部加息的呼声有所显现，英国央行首席的经济学家皮尔也主张加息25BP同时市场预期欧洲央行或将在六月就进行这个加息操作。同时美联储2020年启动加息的这个概率也出现了明显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09:27</w:t>
      </w:r>
    </w:p>
    <w:p>
      <w:r>
        <w:rPr>
          <w:rFonts w:ascii="等线(中文正文)" w:hAnsi="等线(中文正文)" w:cs="等线(中文正文)" w:eastAsia="等线(中文正文)"/>
          <w:b w:val="false"/>
          <w:i w:val="false"/>
          <w:sz w:val="20"/>
        </w:rPr>
        <w:t>那么回到最开始的这个问题，就是说流动性周期如果它见顶了的话，它可能会去领先整体的这个产业周期约三个季度。如果产业周期后续也出现了一个下行，也就是说我们当下所看到的这些高景气板块，它的这个增速还是出现了拐点，也意味着这个风格真正的去完成了这样的一个切换。但是我们也要提示，就是说流动性周期的这个转向，它很难去直接终结产业趋势的这个行情。其实回到一开始提到新能源的这个行情，当时也是在2021年初，流动性整体已经开始转向了，是经历了一轮杀估值。但是在这个强劲的产业趋势之下，后续仍然会有盈利驱动，再走出一个顶部，也是在2021年的四季度才真正的见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10:11</w:t>
      </w:r>
    </w:p>
    <w:p>
      <w:r>
        <w:rPr>
          <w:rFonts w:ascii="等线(中文正文)" w:hAnsi="等线(中文正文)" w:cs="等线(中文正文)" w:eastAsia="等线(中文正文)"/>
          <w:b w:val="false"/>
          <w:i w:val="false"/>
          <w:sz w:val="20"/>
        </w:rPr>
        <w:t>虽然说流动性周期的这个转向不会终结，直接终结产业趋势的这个行情，但是如果流动性拐点确实出现了，那么确实是市场风格切换的这样的一个重要需求。在AI产业趋势比较强的支撑之下，前期的这种市场主线很难去出现单边快速的回调，同时其实我们可以看到就是说消费这个板块或者说整体的这个贝塔，其实并没有看到太多反转的这种信号。因此的话它可能当下的这个反弹，它的持续性也很难去过强更多，就是一种在行情达到了这个极致这种状态之下的这种一种反抽。因此的话就是说前期这种主线行情，它也很难出现一个很A杀这样的一种状态。它通常是通过一个反复震荡或者说多轮博弈的这种方式，去构筑一个比较复杂的这样的一个底部结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11:00</w:t>
      </w:r>
    </w:p>
    <w:p>
      <w:r>
        <w:rPr>
          <w:rFonts w:ascii="等线(中文正文)" w:hAnsi="等线(中文正文)" w:cs="等线(中文正文)" w:eastAsia="等线(中文正文)"/>
          <w:b w:val="false"/>
          <w:i w:val="false"/>
          <w:sz w:val="20"/>
        </w:rPr>
        <w:t>当前我们认为市场它还处在一个风格切换的早期阶段，主要的这个核心判断理由就是流动性的这个拐点可能已经出现了。在这样的一个背景之下，科技板块的这种单边上行的顺畅行情就难以去延续。在流动性被边际收紧的这种背景之下，板块整体的这个波动率就会放大，那么行情轮动也会加速。因此市场再再去获取这种广谱性超额收益的这个难度就会大幅提升，也就是这些非核心的这种品种，它可能会去出现一个明比较明显的这种回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11:31</w:t>
      </w:r>
    </w:p>
    <w:p>
      <w:r>
        <w:rPr>
          <w:rFonts w:ascii="等线(中文正文)" w:hAnsi="等线(中文正文)" w:cs="等线(中文正文)" w:eastAsia="等线(中文正文)"/>
          <w:b w:val="false"/>
          <w:i w:val="false"/>
          <w:sz w:val="20"/>
        </w:rPr>
        <w:t>但需要明确的是啊，AI高景气产业趋势它是并未终结的。后续科技赛道可能仍在三个季度甚至更长的这样的一个时间维度里面是一个主线。但是行情它必然会去进入一个缩圈交易，聚焦核心的这个阶段。一些投资者可能会去对一些核心的这种大票品种做一个锁仓。但是一些非核心的品种，甚至说是一些科技这种拜登主线，在整体在后续的这个行情里面，就可能会出现比较明显的这种回撤。市场资金会去逐步抛弃一些纯题材炒作的这种标的，去集中布局有真实业绩兑现，高景气预期明确的这种核心品种。因此的话在这样的一个基础之上，这一些请关注公众号思维纪要社，更多纪要请加V西安20210130。发票这种结构性行情可能仍将去延续。以上的话就是我们本周的这个策略周观点，感谢各位领导聆听。</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2026-05-31T15:10:20Z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E6636BB100BBAFBB4581D91E6DDB8FE40A61BE0CE37DD7400ADC463F44DFE5CA1ECB9DEC465EEAD4A81DB74E8C1F40DA9B63F4C3FB2B28015F330C7D5F0DCE4A423CB35</vt:lpwstr>
  </property>
</Properties>
</file>