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方正证券 _ 方正TMT周周谈：AI生态系列汇报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AI TMT 半导体 3D封装 算力 存储芯片 华创 北方华创 华海清科 微导纳米 雅克科技 中船科技 交通电子 华为 逻辑芯片 DRAM CNP设备 离子注入 光刻设备 光模块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AI技术在科技行业，尤其是TMT板块中发挥着推动作用，尽管市场面临波动，AI领域在美股、日韩市场仍展现出稳定增长趋势，为投资者提供了配置AI相关资产的时机。半导体行业聚焦3D封装趋势与材料涨价，算力领域因算力短缺带来投资机遇，传媒行业预判三季度行情可能切换，强调影视和出版领域潜力，通信行业则关注光模块和CPU技术进展，对天福通信公司投资价值进行分析。整体而言，对话强调在市场波动中寻找参与AI主导趋势的投资机会，并提供了各细分行业的具体投资建议，指出具有性价比和确定性的投资标的。</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AI趋势下TMT板块的投资机会</w:t>
      </w:r>
    </w:p>
    <w:p>
      <w:r>
        <w:rPr>
          <w:rFonts w:ascii="等线(中文正文)" w:hAnsi="等线(中文正文)" w:cs="等线(中文正文)" w:eastAsia="等线(中文正文)"/>
          <w:b w:val="false"/>
          <w:i w:val="false"/>
          <w:sz w:val="20"/>
        </w:rPr>
        <w:t>面对TMT板块在AI驱动下的波动，分析认为尽管存在回调，但AI相关领域如半导体、算力、传媒和通信仍展现出良好前景。推荐关注3D封装和材料涨价的半导体标的，算力短缺下的AI应用修复，传媒行业性价比高的配置时机，以及通信领域核心卡位的优质企业。整体强调在波动中寻找AI主线下的细分方向，把握投资机会。</w:t>
      </w:r>
    </w:p>
    <w:p>
      <w:r>
        <w:rPr>
          <w:rFonts w:ascii="等线(中文正文)" w:hAnsi="等线(中文正文)" w:cs="等线(中文正文)" w:eastAsia="等线(中文正文)"/>
          <w:b w:val="false"/>
          <w:i w:val="false"/>
          <w:sz w:val="20"/>
        </w:rPr>
        <w:t/>
      </w:r>
    </w:p>
    <w:p>
      <w:pPr>
        <w:pStyle w:val="ab"/>
        <w:numPr>
          <w:numId w:val="2"/>
        </w:numPr>
      </w:pPr>
      <w:r>
        <w:t>03:23 3D趋势与材料涨价下的半导体设备投资机遇</w:t>
      </w:r>
    </w:p>
    <w:p>
      <w:r>
        <w:rPr>
          <w:rFonts w:ascii="等线(中文正文)" w:hAnsi="等线(中文正文)" w:cs="等线(中文正文)" w:eastAsia="等线(中文正文)"/>
          <w:b w:val="false"/>
          <w:i w:val="false"/>
          <w:sz w:val="20"/>
        </w:rPr>
        <w:t>报告聚焦于3D化趋势和半导体材料涨价背景下，分析了逻辑芯片与存储芯片的3D化进展，以及封装技术如HBM的发展。重点推荐了北方华创、华海清科等国产设备龙头，强调了CNP设备用量提升及离子注入等先进封装新品的增长潜力，认为这些领域将显著受益于3D结构的设备需求增加。</w:t>
      </w:r>
    </w:p>
    <w:p>
      <w:r>
        <w:rPr>
          <w:rFonts w:ascii="等线(中文正文)" w:hAnsi="等线(中文正文)" w:cs="等线(中文正文)" w:eastAsia="等线(中文正文)"/>
          <w:b w:val="false"/>
          <w:i w:val="false"/>
          <w:sz w:val="20"/>
        </w:rPr>
        <w:t/>
      </w:r>
    </w:p>
    <w:p>
      <w:pPr>
        <w:pStyle w:val="ab"/>
        <w:numPr>
          <w:numId w:val="3"/>
        </w:numPr>
      </w:pPr>
      <w:r>
        <w:t>06:56 半导体与算力产业链最新动态及投资建议</w:t>
      </w:r>
    </w:p>
    <w:p>
      <w:r>
        <w:rPr>
          <w:rFonts w:ascii="等线(中文正文)" w:hAnsi="等线(中文正文)" w:cs="等线(中文正文)" w:eastAsia="等线(中文正文)"/>
          <w:b w:val="false"/>
          <w:i w:val="false"/>
          <w:sz w:val="20"/>
        </w:rPr>
        <w:t>对话讨论了半导体行业，特别是微导纳米、雅克科技和中船科技等公司的发展前景，以及算力产业链的全面增长，包括GPU、存储、光模块等领域的资本支出加速增长，建议关注相关标的及涨价品种的持续性。</w:t>
      </w:r>
    </w:p>
    <w:p>
      <w:r>
        <w:rPr>
          <w:rFonts w:ascii="等线(中文正文)" w:hAnsi="等线(中文正文)" w:cs="等线(中文正文)" w:eastAsia="等线(中文正文)"/>
          <w:b w:val="false"/>
          <w:i w:val="false"/>
          <w:sz w:val="20"/>
        </w:rPr>
        <w:t/>
      </w:r>
    </w:p>
    <w:p>
      <w:pPr>
        <w:pStyle w:val="ab"/>
        <w:numPr>
          <w:numId w:val="4"/>
        </w:numPr>
      </w:pPr>
      <w:r>
        <w:t>10:14 聚焦供需紧张与新技术带来的投资机会</w:t>
      </w:r>
    </w:p>
    <w:p>
      <w:r>
        <w:rPr>
          <w:rFonts w:ascii="等线(中文正文)" w:hAnsi="等线(中文正文)" w:cs="等线(中文正文)" w:eastAsia="等线(中文正文)"/>
          <w:b w:val="false"/>
          <w:i w:val="false"/>
          <w:sz w:val="20"/>
        </w:rPr>
        <w:t>讨论了在当前市场环境下，投资应聚焦于供需紧张带来的价格持续景气，新技术引发的供应链环节0到1变化，以及结构性竞争格局带来的公司机会。同时，指出应用方向的股价已进入长期调整后的走强阶段，部分公司涨幅超过30%-50%。</w:t>
      </w:r>
    </w:p>
    <w:p>
      <w:r>
        <w:rPr>
          <w:rFonts w:ascii="等线(中文正文)" w:hAnsi="等线(中文正文)" w:cs="等线(中文正文)" w:eastAsia="等线(中文正文)"/>
          <w:b w:val="false"/>
          <w:i w:val="false"/>
          <w:sz w:val="20"/>
        </w:rPr>
        <w:t/>
      </w:r>
    </w:p>
    <w:p>
      <w:pPr>
        <w:pStyle w:val="ab"/>
        <w:numPr>
          <w:numId w:val="5"/>
        </w:numPr>
      </w:pPr>
      <w:r>
        <w:t>13:12 重视应用阶段与to b软件公司重估机会</w:t>
      </w:r>
    </w:p>
    <w:p>
      <w:r>
        <w:rPr>
          <w:rFonts w:ascii="等线(中文正文)" w:hAnsi="等线(中文正文)" w:cs="等线(中文正文)" w:eastAsia="等线(中文正文)"/>
          <w:b w:val="false"/>
          <w:i w:val="false"/>
          <w:sz w:val="20"/>
        </w:rPr>
        <w:t>对话重申了当前阶段应重视应用领域，尤其是to b软件公司。过去的一波杀估值已过，分化阶段中，具备深厚行业壁垒的公司如ERP、医疗、能源等行业，因其长期行业积累、客户理解、数据壁垒等优势，将更受青睐。商业模式的灵活性与行业壁垒深度结合，为这些公司提供了重新设计商业模式的能力。港股及A股中的to b巨头，如腾讯，因其深厚的行业壁垒、竞争优势及成长性，被建议逐步重视与配置。</w:t>
      </w:r>
    </w:p>
    <w:p>
      <w:r>
        <w:rPr>
          <w:rFonts w:ascii="等线(中文正文)" w:hAnsi="等线(中文正文)" w:cs="等线(中文正文)" w:eastAsia="等线(中文正文)"/>
          <w:b w:val="false"/>
          <w:i w:val="false"/>
          <w:sz w:val="20"/>
        </w:rPr>
        <w:t/>
      </w:r>
    </w:p>
    <w:p>
      <w:pPr>
        <w:pStyle w:val="ab"/>
        <w:numPr>
          <w:numId w:val="6"/>
        </w:numPr>
      </w:pPr>
      <w:r>
        <w:t>15:59 AI浪潮下的传媒与内容产业机遇</w:t>
      </w:r>
    </w:p>
    <w:p>
      <w:r>
        <w:rPr>
          <w:rFonts w:ascii="等线(中文正文)" w:hAnsi="等线(中文正文)" w:cs="等线(中文正文)" w:eastAsia="等线(中文正文)"/>
          <w:b w:val="false"/>
          <w:i w:val="false"/>
          <w:sz w:val="20"/>
        </w:rPr>
        <w:t>传媒行业预计六月行情切换，看好AI驱动的内容产业。硬件景气上行后，内容供给端已准备就绪，等待消费范式变化。模型即服务丰富工作流，降低创作门槛，硬件创新如苹果Glass可能引领新交互方式。</w:t>
      </w:r>
    </w:p>
    <w:p>
      <w:r>
        <w:rPr>
          <w:rFonts w:ascii="等线(中文正文)" w:hAnsi="等线(中文正文)" w:cs="等线(中文正文)" w:eastAsia="等线(中文正文)"/>
          <w:b w:val="false"/>
          <w:i w:val="false"/>
          <w:sz w:val="20"/>
        </w:rPr>
        <w:t/>
      </w:r>
    </w:p>
    <w:p>
      <w:pPr>
        <w:pStyle w:val="ab"/>
        <w:numPr>
          <w:numId w:val="7"/>
        </w:numPr>
      </w:pPr>
      <w:r>
        <w:t>19:40 苹果Glass定义交互方式与传媒行业轮番修复分析</w:t>
      </w:r>
    </w:p>
    <w:p>
      <w:r>
        <w:rPr>
          <w:rFonts w:ascii="等线(中文正文)" w:hAnsi="等线(中文正文)" w:cs="等线(中文正文)" w:eastAsia="等线(中文正文)"/>
          <w:b w:val="false"/>
          <w:i w:val="false"/>
          <w:sz w:val="20"/>
        </w:rPr>
        <w:t>讨论了苹果通过定义交互方式引领科技潮流，尤其是Glass设备的市场潜力及其对AI应用和内容发展的推动作用。同时，分析了传媒行业在2025至2027年间单边上行但轮番修复的走势，指出影视和出版领域将成为重要投资方向，强调实证数据支持的选股策略。</w:t>
      </w:r>
    </w:p>
    <w:p>
      <w:r>
        <w:rPr>
          <w:rFonts w:ascii="等线(中文正文)" w:hAnsi="等线(中文正文)" w:cs="等线(中文正文)" w:eastAsia="等线(中文正文)"/>
          <w:b w:val="false"/>
          <w:i w:val="false"/>
          <w:sz w:val="20"/>
        </w:rPr>
        <w:t/>
      </w:r>
    </w:p>
    <w:p>
      <w:pPr>
        <w:pStyle w:val="ab"/>
        <w:numPr>
          <w:numId w:val="8"/>
        </w:numPr>
      </w:pPr>
      <w:r>
        <w:t>23:05 天福通信深度报告：受益AI光通信高景气度，CPU方案布局卡位</w:t>
      </w:r>
    </w:p>
    <w:p>
      <w:r>
        <w:rPr>
          <w:rFonts w:ascii="等线(中文正文)" w:hAnsi="等线(中文正文)" w:cs="等线(中文正文)" w:eastAsia="等线(中文正文)"/>
          <w:b w:val="false"/>
          <w:i w:val="false"/>
          <w:sz w:val="20"/>
        </w:rPr>
        <w:t>报告指出天福通信作为全球光模块领军企业，受益于AI光通信产业高景气度，预计2025年营收和净利润将显著增长。公司聚焦光器件和光引擎等关键组件，受益于800G和1.6T光模块需求增长。CPU方案作为下一代光通信迭代，天福通信有望在其中占据核心位置，特别是在scale领域。报告预测2025-2027年营收将持续增长，并给予强烈推荐评级，同时提示海外投资、地缘政治和技术迭代风险。</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强调了在当前时间节点上，强化对AI及其相关行业投资观点的重要性。尽管上周TMT板块因AI影响出现波动，包括大盘回调及部分小盘股剧烈震荡，但他认为，剧烈回调应视为配置良机，尤其对于具备基本面和确定性趋势的AI相关行业。展望未来，他预计AI生态将持续繁荣，涵盖硬件基础设施建设、终端应用、软件和算法迭代等多个方面。此外，他还具体介绍了方正证券团队对半导体、算力、传媒和通信领域的深入分析，包括3D封装技术趋势、算力短缺下的板块修复、传媒行业的行情预判以及AI光通信产业的高景气度，提出了相应的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问：在AI趋势下，TMT板块的展望是怎样的？四个行业细分方向的汇报内容是什么？</w:t>
      </w:r>
    </w:p>
    <w:p>
      <w:r>
        <w:rPr>
          <w:rFonts w:ascii="等线(中文正文)" w:hAnsi="等线(中文正文)" w:cs="等线(中文正文)" w:eastAsia="等线(中文正文)"/>
          <w:b w:val="false"/>
          <w:i w:val="false"/>
          <w:sz w:val="20"/>
        </w:rPr>
        <w:t>发言人1 答：站在当前时间节点，我们认为强化对AI主导趋势的推荐观点很重要。上周TMT板块受AI影响波动较大，既有回调也有强势方向的剧烈震荡。但美股、日韩等地在AI相关领域具备基本面和确定性趋势的板块仍保持良好表现。A股虽有自身波动特性，但在剧烈回调时是较好的配置时机。整个AI生态将欣欣向荣，我们需要在波动中寻找适时参与机会。汇报内容包括：1) 半导体领域，关注3D封装趋势受益标的和半导体材料涨价品种；2) 计算机领域，在算力短缺背景下，AI应用板块修复渐行渐近；3) 传媒行业，预期行情有机会复制一季度大涨趋势，目前位置性价比高且是配置的好时机；4) 通信领域，聚焦CPU中间核心卡位及推荐易天下的天福通信。</w:t>
      </w:r>
    </w:p>
    <w:p>
      <w:r>
        <w:rPr>
          <w:rFonts w:ascii="等线(中文正文)" w:hAnsi="等线(中文正文)" w:cs="等线(中文正文)" w:eastAsia="等线(中文正文)"/>
          <w:b w:val="false"/>
          <w:i w:val="false"/>
          <w:sz w:val="20"/>
        </w:rPr>
        <w:t/>
      </w:r>
    </w:p>
    <w:p>
      <w:pPr>
        <w:pStyle w:val="ab"/>
      </w:pPr>
      <w:r>
        <w:t>发言人1 问：3D封装技术的发展趋势如何，有哪些受益标的？</w:t>
      </w:r>
    </w:p>
    <w:p>
      <w:r>
        <w:rPr>
          <w:rFonts w:ascii="等线(中文正文)" w:hAnsi="等线(中文正文)" w:cs="等线(中文正文)" w:eastAsia="等线(中文正文)"/>
          <w:b w:val="false"/>
          <w:i w:val="false"/>
          <w:sz w:val="20"/>
        </w:rPr>
        <w:t>发言人1 答：3D封装已成为半导体发展的明确趋势，不仅逻辑芯片，存储芯片也开始转向3D化。3D结构有助于减少对光刻设备的依赖，降低制程封锁，同时增加高难度工序需求。在五类相关设备中，北方华创、华宇、清科微导纳米和纤维等公司将显著受益。此外，雅克科技作为存储核心材料标的，以及雅克科技、中传特技和交通电子等涨价标的也将受益于3D趋势下的市场需求增长。</w:t>
      </w:r>
    </w:p>
    <w:p>
      <w:r>
        <w:rPr>
          <w:rFonts w:ascii="等线(中文正文)" w:hAnsi="等线(中文正文)" w:cs="等线(中文正文)" w:eastAsia="等线(中文正文)"/>
          <w:b w:val="false"/>
          <w:i w:val="false"/>
          <w:sz w:val="20"/>
        </w:rPr>
        <w:t/>
      </w:r>
    </w:p>
    <w:p>
      <w:pPr>
        <w:pStyle w:val="ab"/>
      </w:pPr>
      <w:r>
        <w:t>发言人1 问：对于算力链条上的其他环节，有什么观察和展望？</w:t>
      </w:r>
    </w:p>
    <w:p>
      <w:r>
        <w:rPr>
          <w:rFonts w:ascii="等线(中文正文)" w:hAnsi="等线(中文正文)" w:cs="等线(中文正文)" w:eastAsia="等线(中文正文)"/>
          <w:b w:val="false"/>
          <w:i w:val="false"/>
          <w:sz w:val="20"/>
        </w:rPr>
        <w:t>发言人1 答：算力链条已从GPU扩展至包括存储、光模块、CPU等更多领域，且随着产业链上下游如电容电感以及服务器整机厂商如戴尔等的发展和优化，整个算力链条将持续升级和强化。</w:t>
      </w:r>
    </w:p>
    <w:p>
      <w:r>
        <w:rPr>
          <w:rFonts w:ascii="等线(中文正文)" w:hAnsi="等线(中文正文)" w:cs="等线(中文正文)" w:eastAsia="等线(中文正文)"/>
          <w:b w:val="false"/>
          <w:i w:val="false"/>
          <w:sz w:val="20"/>
        </w:rPr>
        <w:t/>
      </w:r>
    </w:p>
    <w:p>
      <w:pPr>
        <w:pStyle w:val="ab"/>
      </w:pPr>
      <w:r>
        <w:t>发言人1 问：这周财报亮眼，股价大涨的主要驱动力是什么？</w:t>
      </w:r>
    </w:p>
    <w:p>
      <w:r>
        <w:rPr>
          <w:rFonts w:ascii="等线(中文正文)" w:hAnsi="等线(中文正文)" w:cs="等线(中文正文)" w:eastAsia="等线(中文正文)"/>
          <w:b w:val="false"/>
          <w:i w:val="false"/>
          <w:sz w:val="20"/>
        </w:rPr>
        <w:t>发言人1 答：主要驱动力是下游互联网大厂资本支出的加速增长，从过去两年的百分之几十增长跃升至今年的100%增长。</w:t>
      </w:r>
    </w:p>
    <w:p>
      <w:r>
        <w:rPr>
          <w:rFonts w:ascii="等线(中文正文)" w:hAnsi="等线(中文正文)" w:cs="等线(中文正文)" w:eastAsia="等线(中文正文)"/>
          <w:b w:val="false"/>
          <w:i w:val="false"/>
          <w:sz w:val="20"/>
        </w:rPr>
        <w:t/>
      </w:r>
    </w:p>
    <w:p>
      <w:pPr>
        <w:pStyle w:val="ab"/>
      </w:pPr>
      <w:r>
        <w:t>发言人1 问：当前市场环境下，如何进行投资方向的聚焦？</w:t>
      </w:r>
    </w:p>
    <w:p>
      <w:r>
        <w:rPr>
          <w:rFonts w:ascii="等线(中文正文)" w:hAnsi="等线(中文正文)" w:cs="等线(中文正文)" w:eastAsia="等线(中文正文)"/>
          <w:b w:val="false"/>
          <w:i w:val="false"/>
          <w:sz w:val="20"/>
        </w:rPr>
        <w:t>发言人1 答：需要聚焦供需关系中的敏感点，即涨价信号。如果看到需求持续高增，无论是整体市场变化还是结构性技术演进带来的，涨价是最重要的关注点。同时，供给端的约束情况也至关重要，即使当前市场位置较高，仍应作为核心配置方向。</w:t>
      </w:r>
    </w:p>
    <w:p>
      <w:r>
        <w:rPr>
          <w:rFonts w:ascii="等线(中文正文)" w:hAnsi="等线(中文正文)" w:cs="等线(中文正文)" w:eastAsia="等线(中文正文)"/>
          <w:b w:val="false"/>
          <w:i w:val="false"/>
          <w:sz w:val="20"/>
        </w:rPr>
        <w:t/>
      </w:r>
    </w:p>
    <w:p>
      <w:pPr>
        <w:pStyle w:val="ab"/>
      </w:pPr>
      <w:r>
        <w:t>发言人1 问：从0到1的新应用方向有哪些值得关注？</w:t>
      </w:r>
    </w:p>
    <w:p>
      <w:r>
        <w:rPr>
          <w:rFonts w:ascii="等线(中文正文)" w:hAnsi="等线(中文正文)" w:cs="等线(中文正文)" w:eastAsia="等线(中文正文)"/>
          <w:b w:val="false"/>
          <w:i w:val="false"/>
          <w:sz w:val="20"/>
        </w:rPr>
        <w:t>发言人1 答：举例来说，在光模块领域，从400G、800G发展到1.6T、3.2T，会衍生出许多新的零部件相关板块，这类从0到1的变化，且机构市场股价位置较低、拥挤度较小的方向是重要的投资机会。</w:t>
      </w:r>
    </w:p>
    <w:p>
      <w:r>
        <w:rPr>
          <w:rFonts w:ascii="等线(中文正文)" w:hAnsi="等线(中文正文)" w:cs="等线(中文正文)" w:eastAsia="等线(中文正文)"/>
          <w:b w:val="false"/>
          <w:i w:val="false"/>
          <w:sz w:val="20"/>
        </w:rPr>
        <w:t/>
      </w:r>
    </w:p>
    <w:p>
      <w:pPr>
        <w:pStyle w:val="ab"/>
      </w:pPr>
      <w:r>
        <w:t>发言人1 问：在结构性机会方面有哪些推荐？</w:t>
      </w:r>
    </w:p>
    <w:p>
      <w:r>
        <w:rPr>
          <w:rFonts w:ascii="等线(中文正文)" w:hAnsi="等线(中文正文)" w:cs="等线(中文正文)" w:eastAsia="等线(中文正文)"/>
          <w:b w:val="false"/>
          <w:i w:val="false"/>
          <w:sz w:val="20"/>
        </w:rPr>
        <w:t>发言人1 答：深南股份就是一个结构性变化的代表，随着需求增长，部分领域出现了结构性供给格局变化，带来许多公司机遇，这是值得关注的结构性机会。</w:t>
      </w:r>
    </w:p>
    <w:p>
      <w:r>
        <w:rPr>
          <w:rFonts w:ascii="等线(中文正文)" w:hAnsi="等线(中文正文)" w:cs="等线(中文正文)" w:eastAsia="等线(中文正文)"/>
          <w:b w:val="false"/>
          <w:i w:val="false"/>
          <w:sz w:val="20"/>
        </w:rPr>
        <w:t/>
      </w:r>
    </w:p>
    <w:p>
      <w:pPr>
        <w:pStyle w:val="ab"/>
      </w:pPr>
      <w:r>
        <w:t>发言人1 问：对于算力这一块，有哪些投资信号值得关注？</w:t>
      </w:r>
    </w:p>
    <w:p>
      <w:r>
        <w:rPr>
          <w:rFonts w:ascii="等线(中文正文)" w:hAnsi="等线(中文正文)" w:cs="等线(中文正文)" w:eastAsia="等线(中文正文)"/>
          <w:b w:val="false"/>
          <w:i w:val="false"/>
          <w:sz w:val="20"/>
        </w:rPr>
        <w:t>发言人1 答：首先，供需紧张导致的价格持续上涨是关键信号；其次，新技术带来的供应链新环节的0到1突破；最后，结构性竞争格局变化带来的新公司机会。</w:t>
      </w:r>
    </w:p>
    <w:p>
      <w:r>
        <w:rPr>
          <w:rFonts w:ascii="等线(中文正文)" w:hAnsi="等线(中文正文)" w:cs="等线(中文正文)" w:eastAsia="等线(中文正文)"/>
          <w:b w:val="false"/>
          <w:i w:val="false"/>
          <w:sz w:val="20"/>
        </w:rPr>
        <w:t/>
      </w:r>
    </w:p>
    <w:p>
      <w:pPr>
        <w:pStyle w:val="ab"/>
      </w:pPr>
      <w:r>
        <w:t>发言人1 问：应用方向的投资策略是怎样的？</w:t>
      </w:r>
    </w:p>
    <w:p>
      <w:r>
        <w:rPr>
          <w:rFonts w:ascii="等线(中文正文)" w:hAnsi="等线(中文正文)" w:cs="等线(中文正文)" w:eastAsia="等线(中文正文)"/>
          <w:b w:val="false"/>
          <w:i w:val="false"/>
          <w:sz w:val="20"/>
        </w:rPr>
        <w:t>发言人1 答：目前应用方向的股价已经经历较长时间的估值压缩，尤其在美股，许多应用公司涨幅超过30%到50%。我们重申观点，在这个阶段应逐步重视应用端，尤其是那些拥有深厚行业壁垒的传统老牌公司，如ERP、医疗和能源行业的公司，它们往往具备重新设计商业模式的能力，从而在行业变革中受益。</w:t>
      </w:r>
    </w:p>
    <w:p>
      <w:r>
        <w:rPr>
          <w:rFonts w:ascii="等线(中文正文)" w:hAnsi="等线(中文正文)" w:cs="等线(中文正文)" w:eastAsia="等线(中文正文)"/>
          <w:b w:val="false"/>
          <w:i w:val="false"/>
          <w:sz w:val="20"/>
        </w:rPr>
        <w:t/>
      </w:r>
    </w:p>
    <w:p>
      <w:pPr>
        <w:pStyle w:val="ab"/>
      </w:pPr>
      <w:r>
        <w:t>发言人1 问：对于SaaS模式的商业模式变化有何看法？</w:t>
      </w:r>
    </w:p>
    <w:p>
      <w:r>
        <w:rPr>
          <w:rFonts w:ascii="等线(中文正文)" w:hAnsi="等线(中文正文)" w:cs="等线(中文正文)" w:eastAsia="等线(中文正文)"/>
          <w:b w:val="false"/>
          <w:i w:val="false"/>
          <w:sz w:val="20"/>
        </w:rPr>
        <w:t>发言人1 答：SaaS模式的商业模式变化本质上不是对深壁垒公司的本质冲击，而是一种形式的变化。如果环节壁垒足够深，公司通常能通过调整商业模式（例如按照结果付费）来适应变化，像SAP这类公司以及国内一些具有高行业壁垒和用户迁移成本的公司，如用友、金蝶等，在这个阶段值得投资者逐步重视和配置。</w:t>
      </w:r>
    </w:p>
    <w:p>
      <w:r>
        <w:rPr>
          <w:rFonts w:ascii="等线(中文正文)" w:hAnsi="等线(中文正文)" w:cs="等线(中文正文)" w:eastAsia="等线(中文正文)"/>
          <w:b w:val="false"/>
          <w:i w:val="false"/>
          <w:sz w:val="20"/>
        </w:rPr>
        <w:t/>
      </w:r>
    </w:p>
    <w:p>
      <w:pPr>
        <w:pStyle w:val="ab"/>
      </w:pPr>
      <w:r>
        <w:t>发言人1 问：对于港股中to b或to c的巨头公司如何看待？</w:t>
      </w:r>
    </w:p>
    <w:p>
      <w:r>
        <w:rPr>
          <w:rFonts w:ascii="等线(中文正文)" w:hAnsi="等线(中文正文)" w:cs="等线(中文正文)" w:eastAsia="等线(中文正文)"/>
          <w:b w:val="false"/>
          <w:i w:val="false"/>
          <w:sz w:val="20"/>
        </w:rPr>
        <w:t>发言人1 答：港股中像腾讯这样的to b或to c巨头，因其深的行业壁垒、显著的行业地位、竞争优势以及未来AI带来的价值重估，当前估值较低，是一个合适的投资配置位置。</w:t>
      </w:r>
    </w:p>
    <w:p>
      <w:r>
        <w:rPr>
          <w:rFonts w:ascii="等线(中文正文)" w:hAnsi="等线(中文正文)" w:cs="等线(中文正文)" w:eastAsia="等线(中文正文)"/>
          <w:b w:val="false"/>
          <w:i w:val="false"/>
          <w:sz w:val="20"/>
        </w:rPr>
        <w:t/>
      </w:r>
    </w:p>
    <w:p>
      <w:pPr>
        <w:pStyle w:val="ab"/>
      </w:pPr>
      <w:r>
        <w:t>发言人1 问：在AI领域，您们对管理软件公司和垂直领域业务公司的投资建议是什么？传媒行业方面，中期策略报告中有哪些关键观点？</w:t>
      </w:r>
    </w:p>
    <w:p>
      <w:r>
        <w:rPr>
          <w:rFonts w:ascii="等线(中文正文)" w:hAnsi="等线(中文正文)" w:cs="等线(中文正文)" w:eastAsia="等线(中文正文)"/>
          <w:b w:val="false"/>
          <w:i w:val="false"/>
          <w:sz w:val="20"/>
        </w:rPr>
        <w:t>发言人1 答：我们建议逐步重视并优选那些门槛较高的管理软件公司以及垂直领域业务公司。在传媒行业，我们预判从六月份开始可能会有一波行情切换，尤其是传媒板块。这个判断基于今年一季度传媒上涨时的预判，且是基于长线逻辑。</w:t>
      </w:r>
    </w:p>
    <w:p>
      <w:r>
        <w:rPr>
          <w:rFonts w:ascii="等线(中文正文)" w:hAnsi="等线(中文正文)" w:cs="等线(中文正文)" w:eastAsia="等线(中文正文)"/>
          <w:b w:val="false"/>
          <w:i w:val="false"/>
          <w:sz w:val="20"/>
        </w:rPr>
        <w:t/>
      </w:r>
    </w:p>
    <w:p>
      <w:pPr>
        <w:pStyle w:val="ab"/>
      </w:pPr>
      <w:r>
        <w:t>发言人1 问：对于传媒行业的行情预测是怎样的？</w:t>
      </w:r>
    </w:p>
    <w:p>
      <w:r>
        <w:rPr>
          <w:rFonts w:ascii="等线(中文正文)" w:hAnsi="等线(中文正文)" w:cs="等线(中文正文)" w:eastAsia="等线(中文正文)"/>
          <w:b w:val="false"/>
          <w:i w:val="false"/>
          <w:sz w:val="20"/>
        </w:rPr>
        <w:t>发言人1 答：传媒行业虽然单边上行，但呈现轮番修复的状态，产业景气上行还未开始。预计2025年至2027年底，传媒板块将经历轮番修复，其中影视和出版可能是最早上涨的部分。</w:t>
      </w:r>
    </w:p>
    <w:p>
      <w:r>
        <w:rPr>
          <w:rFonts w:ascii="等线(中文正文)" w:hAnsi="等线(中文正文)" w:cs="等线(中文正文)" w:eastAsia="等线(中文正文)"/>
          <w:b w:val="false"/>
          <w:i w:val="false"/>
          <w:sz w:val="20"/>
        </w:rPr>
        <w:t/>
      </w:r>
    </w:p>
    <w:p>
      <w:pPr>
        <w:pStyle w:val="ab"/>
      </w:pPr>
      <w:r>
        <w:t>发言人1 问：AI作为产业浪潮，其硬件软件景气上行是否存在无缝衔接的过程？</w:t>
      </w:r>
    </w:p>
    <w:p>
      <w:r>
        <w:rPr>
          <w:rFonts w:ascii="等线(中文正文)" w:hAnsi="等线(中文正文)" w:cs="等线(中文正文)" w:eastAsia="等线(中文正文)"/>
          <w:b w:val="false"/>
          <w:i w:val="false"/>
          <w:sz w:val="20"/>
        </w:rPr>
        <w:t>发言人1 答：AI的硬件软件景气上行并非无缝衔接，其中最大的一个缺口在于硬件交互方式的创新。</w:t>
      </w:r>
    </w:p>
    <w:p>
      <w:r>
        <w:rPr>
          <w:rFonts w:ascii="等线(中文正文)" w:hAnsi="等线(中文正文)" w:cs="等线(中文正文)" w:eastAsia="等线(中文正文)"/>
          <w:b w:val="false"/>
          <w:i w:val="false"/>
          <w:sz w:val="20"/>
        </w:rPr>
        <w:t/>
      </w:r>
    </w:p>
    <w:p>
      <w:pPr>
        <w:pStyle w:val="ab"/>
      </w:pPr>
      <w:r>
        <w:t>发言人1 问：龙虾大战对办公市场有何影响？</w:t>
      </w:r>
    </w:p>
    <w:p>
      <w:r>
        <w:rPr>
          <w:rFonts w:ascii="等线(中文正文)" w:hAnsi="等线(中文正文)" w:cs="等线(中文正文)" w:eastAsia="等线(中文正文)"/>
          <w:b w:val="false"/>
          <w:i w:val="false"/>
          <w:sz w:val="20"/>
        </w:rPr>
        <w:t>发言人1 答：龙虾大战对办公市场有深远影响，它推动了To B方向办公市场的活跃，并带动To C方向出现很多模型即服务的产品，降低了内容创作门槛。</w:t>
      </w:r>
    </w:p>
    <w:p>
      <w:r>
        <w:rPr>
          <w:rFonts w:ascii="等线(中文正文)" w:hAnsi="等线(中文正文)" w:cs="等线(中文正文)" w:eastAsia="等线(中文正文)"/>
          <w:b w:val="false"/>
          <w:i w:val="false"/>
          <w:sz w:val="20"/>
        </w:rPr>
        <w:t/>
      </w:r>
    </w:p>
    <w:p>
      <w:pPr>
        <w:pStyle w:val="ab"/>
      </w:pPr>
      <w:r>
        <w:t>发言人1 问：模型即服务如何帮助小白制作内容？</w:t>
      </w:r>
    </w:p>
    <w:p>
      <w:r>
        <w:rPr>
          <w:rFonts w:ascii="等线(中文正文)" w:hAnsi="等线(中文正文)" w:cs="等线(中文正文)" w:eastAsia="等线(中文正文)"/>
          <w:b w:val="false"/>
          <w:i w:val="false"/>
          <w:sz w:val="20"/>
        </w:rPr>
        <w:t>发言人1 答：模型即服务通过加入工作流和丰富的工具，使得小白也能轻松制作各类内容，技术上已经没有障碍，内容供给端已准备好。</w:t>
      </w:r>
    </w:p>
    <w:p>
      <w:r>
        <w:rPr>
          <w:rFonts w:ascii="等线(中文正文)" w:hAnsi="等线(中文正文)" w:cs="等线(中文正文)" w:eastAsia="等线(中文正文)"/>
          <w:b w:val="false"/>
          <w:i w:val="false"/>
          <w:sz w:val="20"/>
        </w:rPr>
        <w:t/>
      </w:r>
    </w:p>
    <w:p>
      <w:pPr>
        <w:pStyle w:val="ab"/>
      </w:pPr>
      <w:r>
        <w:t>发言人1 问：消费范式的真正变化对于AI应用和内容产业景气上行的重要性是什么？</w:t>
      </w:r>
    </w:p>
    <w:p>
      <w:r>
        <w:rPr>
          <w:rFonts w:ascii="等线(中文正文)" w:hAnsi="等线(中文正文)" w:cs="等线(中文正文)" w:eastAsia="等线(中文正文)"/>
          <w:b w:val="false"/>
          <w:i w:val="false"/>
          <w:sz w:val="20"/>
        </w:rPr>
        <w:t>发言人1 答：消费范式的真正变化是AI应用和内容产业景气上行的核心，需要有人买单或消费。在供给端准备好之后，新的硬件、新的交互方式创新是拉动应用和内容的关键。</w:t>
      </w:r>
    </w:p>
    <w:p>
      <w:r>
        <w:rPr>
          <w:rFonts w:ascii="等线(中文正文)" w:hAnsi="等线(中文正文)" w:cs="等线(中文正文)" w:eastAsia="等线(中文正文)"/>
          <w:b w:val="false"/>
          <w:i w:val="false"/>
          <w:sz w:val="20"/>
        </w:rPr>
        <w:t/>
      </w:r>
    </w:p>
    <w:p>
      <w:pPr>
        <w:pStyle w:val="ab"/>
      </w:pPr>
      <w:r>
        <w:t>发言人1 问：苹果 Glasses 对AI交互方式定义的重要性是什么？</w:t>
      </w:r>
    </w:p>
    <w:p>
      <w:r>
        <w:rPr>
          <w:rFonts w:ascii="等线(中文正文)" w:hAnsi="等线(中文正文)" w:cs="等线(中文正文)" w:eastAsia="等线(中文正文)"/>
          <w:b w:val="false"/>
          <w:i w:val="false"/>
          <w:sz w:val="20"/>
        </w:rPr>
        <w:t>发言人1 答：苹果 Glasses 定义了一套交互方式，这一创新将引领众多公司跟随并在此领域发力，其作为第一代产品定义交互方式后，第二三代开始放量时，AI应用和内容将随之兴起。</w:t>
      </w:r>
    </w:p>
    <w:p>
      <w:r>
        <w:rPr>
          <w:rFonts w:ascii="等线(中文正文)" w:hAnsi="等线(中文正文)" w:cs="等线(中文正文)" w:eastAsia="等线(中文正文)"/>
          <w:b w:val="false"/>
          <w:i w:val="false"/>
          <w:sz w:val="20"/>
        </w:rPr>
        <w:t/>
      </w:r>
    </w:p>
    <w:p>
      <w:pPr>
        <w:pStyle w:val="ab"/>
      </w:pPr>
      <w:r>
        <w:t>发言人1 问：对于天福通信的深度报告有哪些主要观点？</w:t>
      </w:r>
    </w:p>
    <w:p>
      <w:r>
        <w:rPr>
          <w:rFonts w:ascii="等线(中文正文)" w:hAnsi="等线(中文正文)" w:cs="等线(中文正文)" w:eastAsia="等线(中文正文)"/>
          <w:b w:val="false"/>
          <w:i w:val="false"/>
          <w:sz w:val="20"/>
        </w:rPr>
        <w:t>发言人1 答：天福通信是全球光模块行业的领军企业，受益于AI光通信产业高景气度。随着上游物料紧缺问题缓解，公司在2026年的业绩有望实现较大弹性释放。同时，受益于800G和1.6T光模块高速增长，以及CPU方案的迭代升级，公司有望在数据中心与AI集群领域占据重要位置。预计2025年至2027年，公司营收将有显著增长，并给予公司强烈推荐评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2026-05-31T15:10:20Z</dcterms:created>
  <dc:creator>Apache POI</dc:creator>
</cp:coreProperties>
</file>