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方正证券  方正大制造周周谈 260531_导读</w:t>
      </w:r>
    </w:p>
    <w:p>
      <w:pPr>
        <w:pStyle w:val="a0"/>
        <w:jc w:val="center"/>
      </w:pPr>
      <w:r>
        <w:t>2026年05月31日 23:01</w:t>
      </w:r>
    </w:p>
    <w:p>
      <w:pPr>
        <w:pStyle w:val="a7"/>
      </w:pPr>
      <w:r>
        <w:t>关键词</w:t>
      </w:r>
    </w:p>
    <w:p>
      <w:r>
        <w:rPr>
          <w:rFonts w:ascii="等线(中文正文)" w:hAnsi="等线(中文正文)" w:cs="等线(中文正文)" w:eastAsia="等线(中文正文)"/>
          <w:b w:val="false"/>
          <w:i w:val="false"/>
          <w:sz w:val="20"/>
        </w:rPr>
        <w:t xml:space="preserve">PCB AI服务器 电子部 材料 mlcc 涨价 需求 产能 设备 国产替代 半导体 先进封装 玻璃基板 航运 油运 散运 库存 补库 催化。 原油库存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本次讨论会集中分析了多个行业的未来发展与投资机会，涉及PCB板在AI服务器中的应用升级、MLCC价格变动对投资的影响、航运市场的潜力、超硬材料的技术应用，以及比亚迪的智能化转型策略。会议强调遵守监管要求，不触及敏感或内部信息，并提醒与会者注意信息使用的法律界限。整体目标是为投资者提供深入的行业见解与投资指导，聚焦于市场趋势与潜在盈利点。</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AI服务器升级带动PCB板价值量提升</w:t>
      </w:r>
    </w:p>
    <w:p>
      <w:r>
        <w:rPr>
          <w:rFonts w:ascii="等线(中文正文)" w:hAnsi="等线(中文正文)" w:cs="等线(中文正文)" w:eastAsia="等线(中文正文)"/>
          <w:b w:val="false"/>
          <w:i w:val="false"/>
          <w:sz w:val="20"/>
        </w:rPr>
        <w:t>对话讨论了AI服务器架构升级后，PCB板价值量的显著提升。新一代架构下，PCB板的BOM成本从三万多美元增至近12万美元，主要由计算板、交换板、中板、DPU板和网卡板的升级和新增构成。其中，中板和DPU板为新增板卡，成本分别提升至27000美元和4590美元，网卡板成本约为2万美元。整体而言，AI服务器的升级直接提升了PCB的生态难度和价值量。</w:t>
      </w:r>
    </w:p>
    <w:p>
      <w:r>
        <w:rPr>
          <w:rFonts w:ascii="等线(中文正文)" w:hAnsi="等线(中文正文)" w:cs="等线(中文正文)" w:eastAsia="等线(中文正文)"/>
          <w:b w:val="false"/>
          <w:i w:val="false"/>
          <w:sz w:val="20"/>
        </w:rPr>
        <w:t/>
      </w:r>
    </w:p>
    <w:p>
      <w:pPr>
        <w:pStyle w:val="ab"/>
        <w:numPr>
          <w:numId w:val="2"/>
        </w:numPr>
      </w:pPr>
      <w:r>
        <w:t>04:42 AI服务器增长与材料升级推动PCB及MLCC行业变革</w:t>
      </w:r>
    </w:p>
    <w:p>
      <w:r>
        <w:rPr>
          <w:rFonts w:ascii="等线(中文正文)" w:hAnsi="等线(中文正文)" w:cs="等线(中文正文)" w:eastAsia="等线(中文正文)"/>
          <w:b w:val="false"/>
          <w:i w:val="false"/>
          <w:sz w:val="20"/>
        </w:rPr>
        <w:t>讨论了AI服务器增长对PCB行业的影响，指出PCB正向更高层次、更复杂结构发展，材料升级显著。同时，MLCC行业因AI服务器需求增长和贵金属价格上涨，面临量价齐升局面，行业产能扩张受限，价格持续上涨，建议产业链布局关注设备、制造和原材料方向。</w:t>
      </w:r>
    </w:p>
    <w:p>
      <w:r>
        <w:rPr>
          <w:rFonts w:ascii="等线(中文正文)" w:hAnsi="等线(中文正文)" w:cs="等线(中文正文)" w:eastAsia="等线(中文正文)"/>
          <w:b w:val="false"/>
          <w:i w:val="false"/>
          <w:sz w:val="20"/>
        </w:rPr>
        <w:t/>
      </w:r>
    </w:p>
    <w:p>
      <w:pPr>
        <w:pStyle w:val="ab"/>
        <w:numPr>
          <w:numId w:val="3"/>
        </w:numPr>
      </w:pPr>
      <w:r>
        <w:t>10:45 智能触控显示设备供应商拓展半导体封装业务</w:t>
      </w:r>
    </w:p>
    <w:p>
      <w:r>
        <w:rPr>
          <w:rFonts w:ascii="等线(中文正文)" w:hAnsi="等线(中文正文)" w:cs="等线(中文正文)" w:eastAsia="等线(中文正文)"/>
          <w:b w:val="false"/>
          <w:i w:val="false"/>
          <w:sz w:val="20"/>
        </w:rPr>
        <w:t>一家拥有30多年触控集成设计和制造经验的全球领先智能触控显示设备供应商，其主要产品包括智能车载显示屏、智能交互一体机和智能交互显示器。公司正积极拓展消费电子领域，并通过控股子公司介入智能座舱业务。与同体系下的触控龙头宸鸿科技深度绑定，后者全力投入半导体先进封装，特别是玻璃基板的研发。预计今年公司利润将超2亿，且有望借助兄弟企业的发展，深度参与大陆玻璃基板业务，享受欧印半导体红利，成长空间巨大。</w:t>
      </w:r>
    </w:p>
    <w:p>
      <w:r>
        <w:rPr>
          <w:rFonts w:ascii="等线(中文正文)" w:hAnsi="等线(中文正文)" w:cs="等线(中文正文)" w:eastAsia="等线(中文正文)"/>
          <w:b w:val="false"/>
          <w:i w:val="false"/>
          <w:sz w:val="20"/>
        </w:rPr>
        <w:t/>
      </w:r>
    </w:p>
    <w:p>
      <w:pPr>
        <w:pStyle w:val="ab"/>
        <w:numPr>
          <w:numId w:val="4"/>
        </w:numPr>
      </w:pPr>
      <w:r>
        <w:t>13:51 航运板块投资观点与原油市场分析</w:t>
      </w:r>
    </w:p>
    <w:p>
      <w:r>
        <w:rPr>
          <w:rFonts w:ascii="等线(中文正文)" w:hAnsi="等线(中文正文)" w:cs="等线(中文正文)" w:eastAsia="等线(中文正文)"/>
          <w:b w:val="false"/>
          <w:i w:val="false"/>
          <w:sz w:val="20"/>
        </w:rPr>
        <w:t>本周航运三大子板块（集运、油运、散运）均存在投资机会。核心标的如中远海能、招商轮船估值安全边际充足，建议逢低关注。原油市场方面，四月起库存开始明显下降，前期供给端缓冲工具已基本耗尽，需求端预计有回补，补库逻辑依然存在，6-7月或有实质性变化。</w:t>
      </w:r>
    </w:p>
    <w:p>
      <w:r>
        <w:rPr>
          <w:rFonts w:ascii="等线(中文正文)" w:hAnsi="等线(中文正文)" w:cs="等线(中文正文)" w:eastAsia="等线(中文正文)"/>
          <w:b w:val="false"/>
          <w:i w:val="false"/>
          <w:sz w:val="20"/>
        </w:rPr>
        <w:t/>
      </w:r>
    </w:p>
    <w:p>
      <w:pPr>
        <w:pStyle w:val="ab"/>
        <w:numPr>
          <w:numId w:val="5"/>
        </w:numPr>
      </w:pPr>
      <w:r>
        <w:t>19:07 海运市场动态与投资建议</w:t>
      </w:r>
    </w:p>
    <w:p>
      <w:r>
        <w:rPr>
          <w:rFonts w:ascii="等线(中文正文)" w:hAnsi="等线(中文正文)" w:cs="等线(中文正文)" w:eastAsia="等线(中文正文)"/>
          <w:b w:val="false"/>
          <w:i w:val="false"/>
          <w:sz w:val="20"/>
        </w:rPr>
        <w:t>对话分析了干散货海运、油运、集运三大板块的市场表现及未来趋势。干散货海运受益于铁矿、铝土矿、南美粮食需求增长，预计中期需求稳定，供给受限于高油价和供应链扰动，看好短期至中周期表现。集运板块强调资产价值托底，短期运价上涨受地缘政治和供应链效率影响，看好5-8月旺季行情，后续关注供应链事件带来的额外弹性。建议关注海通发展和中远海控等核心标的。</w:t>
      </w:r>
    </w:p>
    <w:p>
      <w:r>
        <w:rPr>
          <w:rFonts w:ascii="等线(中文正文)" w:hAnsi="等线(中文正文)" w:cs="等线(中文正文)" w:eastAsia="等线(中文正文)"/>
          <w:b w:val="false"/>
          <w:i w:val="false"/>
          <w:sz w:val="20"/>
        </w:rPr>
        <w:t/>
      </w:r>
    </w:p>
    <w:p>
      <w:pPr>
        <w:pStyle w:val="ab"/>
        <w:numPr>
          <w:numId w:val="6"/>
        </w:numPr>
      </w:pPr>
      <w:r>
        <w:t>24:17 中兵红箭：超硬材料与金刚石散热的未来展望</w:t>
      </w:r>
    </w:p>
    <w:p>
      <w:r>
        <w:rPr>
          <w:rFonts w:ascii="等线(中文正文)" w:hAnsi="等线(中文正文)" w:cs="等线(中文正文)" w:eastAsia="等线(中文正文)"/>
          <w:b w:val="false"/>
          <w:i w:val="false"/>
          <w:sz w:val="20"/>
        </w:rPr>
        <w:t>对话深入探讨了中兵红箭在超硬材料领域的领先地位，尤其是金刚石散热技术的五大优势及其在AI算力、半导体、航空航天等领域的应用前景。中南钻石作为子公司，已在工业金刚石领域深耕15年，形成多种散热解决方案，预计随着下游客户认证交付，业务将全面爆发。此外，传统切磨抛及消费钻石领域需求稳定增长，工业金刚石在光伏、半导体等应用需求加速，预计未来1-2年行业将进入存量整合与结构升级阶段，公司凭借头部优势，盈利能力将持续修复。</w:t>
      </w:r>
    </w:p>
    <w:p>
      <w:r>
        <w:rPr>
          <w:rFonts w:ascii="等线(中文正文)" w:hAnsi="等线(中文正文)" w:cs="等线(中文正文)" w:eastAsia="等线(中文正文)"/>
          <w:b w:val="false"/>
          <w:i w:val="false"/>
          <w:sz w:val="20"/>
        </w:rPr>
        <w:t/>
      </w:r>
    </w:p>
    <w:p>
      <w:pPr>
        <w:pStyle w:val="ab"/>
        <w:numPr>
          <w:numId w:val="7"/>
        </w:numPr>
      </w:pPr>
      <w:r>
        <w:t>30:06 公司先进智能弹药业务双轮驱动，军贸市场前景广阔</w:t>
      </w:r>
    </w:p>
    <w:p>
      <w:r>
        <w:rPr>
          <w:rFonts w:ascii="等线(中文正文)" w:hAnsi="等线(中文正文)" w:cs="等线(中文正文)" w:eastAsia="等线(中文正文)"/>
          <w:b w:val="false"/>
          <w:i w:val="false"/>
          <w:sz w:val="20"/>
        </w:rPr>
        <w:t>公司先进智能弹药业务受益于内需和外贸双重驱动，预计今年将迎来全面放量，营收盈利将持续快速增长。军贸方面，产品性能优、价格低、政治附加条件少，有望在中东、阿拉伯地区及东南亚等市场持续开展业务，为公司带来稳定收入和利润。当前公司营收目标95亿元，民品收入平稳，装备外贸收入增长，呈现军民共振、内需外贸双轮驱动的格局。</w:t>
      </w:r>
    </w:p>
    <w:p>
      <w:r>
        <w:rPr>
          <w:rFonts w:ascii="等线(中文正文)" w:hAnsi="等线(中文正文)" w:cs="等线(中文正文)" w:eastAsia="等线(中文正文)"/>
          <w:b w:val="false"/>
          <w:i w:val="false"/>
          <w:sz w:val="20"/>
        </w:rPr>
        <w:t/>
      </w:r>
    </w:p>
    <w:p>
      <w:pPr>
        <w:pStyle w:val="ab"/>
        <w:numPr>
          <w:numId w:val="8"/>
        </w:numPr>
      </w:pPr>
      <w:r>
        <w:t>32:24 比亚迪智能化战略与汽车市场动态分析</w:t>
      </w:r>
    </w:p>
    <w:p>
      <w:r>
        <w:rPr>
          <w:rFonts w:ascii="等线(中文正文)" w:hAnsi="等线(中文正文)" w:cs="等线(中文正文)" w:eastAsia="等线(中文正文)"/>
          <w:b w:val="false"/>
          <w:i w:val="false"/>
          <w:sz w:val="20"/>
        </w:rPr>
        <w:t>比亚迪宣布智能化战略，承诺城市领航安全，发布首款4纳米制程芯片，推动行业渗透率。同时，汽车市场表现活跃，理想小鹏、赛力斯等企业发布业绩和新产品，市场看好出海长线主题，建议关注汽车出海机遇及核心零部件估值与业绩双击的机遇。</w:t>
      </w:r>
    </w:p>
    <w:p>
      <w:r>
        <w:rPr>
          <w:rFonts w:ascii="等线(中文正文)" w:hAnsi="等线(中文正文)" w:cs="等线(中文正文)" w:eastAsia="等线(中文正文)"/>
          <w:b w:val="false"/>
          <w:i w:val="false"/>
          <w:sz w:val="20"/>
        </w:rPr>
        <w:t/>
      </w:r>
    </w:p>
    <w:p>
      <w:pPr>
        <w:pStyle w:val="a7"/>
      </w:pPr>
      <w:r>
        <w:t>发言总结</w:t>
      </w:r>
    </w:p>
    <w:p>
      <w:pPr>
        <w:pStyle w:val="ab"/>
        <w:numPr>
          <w:numId w:val="9"/>
        </w:numPr>
      </w:pPr>
      <w:r>
        <w:t>发言人1</w:t>
      </w:r>
    </w:p>
    <w:p>
      <w:r>
        <w:rPr>
          <w:rFonts w:ascii="等线(中文正文)" w:hAnsi="等线(中文正文)" w:cs="等线(中文正文)" w:eastAsia="等线(中文正文)"/>
          <w:b w:val="false"/>
          <w:i w:val="false"/>
          <w:sz w:val="20"/>
        </w:rPr>
        <w:t>深入探讨了多个领域投资逻辑与市场趋势，强调信息交流限制与法律义务。着重分析了PCD板升级、AI服务器对PCB生态的影响，以及电子部需求拉动情况。讨论了MLCC行业，指出AI服务器需求增长与贵金属价格上涨推动的价格上涨趋势。分享了方正电信郭彦成关于成长光电投资观点，及方正交运舟如飞对航运三大子板块的见解。深入研究了中兵红箭、比亚迪等公司在军工、智能汽车领域的最新进展与投资机会，凸显了消费电子、汽车、军工等领域的投资逻辑，强调了深入研究与市场趋势分析的重要性。</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问：在合并架构发布后，PCD板的价值量升级以及对电子部的拉动情况如何？</w:t>
      </w:r>
    </w:p>
    <w:p>
      <w:r>
        <w:rPr>
          <w:rFonts w:ascii="等线(中文正文)" w:hAnsi="等线(中文正文)" w:cs="等线(中文正文)" w:eastAsia="等线(中文正文)"/>
          <w:b w:val="false"/>
          <w:i w:val="false"/>
          <w:sz w:val="20"/>
        </w:rPr>
        <w:t>发言人1 答：在合并架构发布后，PCD板的价值量有显著提升。从上一代单机成本不到400万美元到新一代版本的780-80万美元，其中PCB板的成本增幅尤为突出，从约3万美元升至近12万美元，仅次于某些组件，在所有组件中排名第二。这主要是由于计算板、交换板、新增的中板、DPU板和网卡版五大核心PCB板的升级和新增。</w:t>
      </w:r>
    </w:p>
    <w:p>
      <w:r>
        <w:rPr>
          <w:rFonts w:ascii="等线(中文正文)" w:hAnsi="等线(中文正文)" w:cs="等线(中文正文)" w:eastAsia="等线(中文正文)"/>
          <w:b w:val="false"/>
          <w:i w:val="false"/>
          <w:sz w:val="20"/>
        </w:rPr>
        <w:t/>
      </w:r>
    </w:p>
    <w:p>
      <w:pPr>
        <w:pStyle w:val="ab"/>
      </w:pPr>
      <w:r>
        <w:t>发言人1 问：PCB板bom成本暴涨是由哪些板带动的？具体使用了哪些电子布料？</w:t>
      </w:r>
    </w:p>
    <w:p>
      <w:r>
        <w:rPr>
          <w:rFonts w:ascii="等线(中文正文)" w:hAnsi="等线(中文正文)" w:cs="等线(中文正文)" w:eastAsia="等线(中文正文)"/>
          <w:b w:val="false"/>
          <w:i w:val="false"/>
          <w:sz w:val="20"/>
        </w:rPr>
        <w:t>发言人1 答：PCB板bom成本的暴涨主要由音乐家的NV72 rap中的计算托盘、交换托盘、网卡及DPU模组等部分带动。其中，计算板和交换板因其面积升级和结构层次更高，对bom成本拉动显著；新增的中板、DPU板和网卡版也是成本增长的关键因素。</w:t>
      </w:r>
    </w:p>
    <w:p>
      <w:r>
        <w:rPr>
          <w:rFonts w:ascii="等线(中文正文)" w:hAnsi="等线(中文正文)" w:cs="等线(中文正文)" w:eastAsia="等线(中文正文)"/>
          <w:b w:val="false"/>
          <w:i w:val="false"/>
          <w:sz w:val="20"/>
        </w:rPr>
        <w:t/>
      </w:r>
    </w:p>
    <w:p>
      <w:pPr>
        <w:pStyle w:val="ab"/>
      </w:pPr>
      <w:r>
        <w:t>发言人1 问：相较于传统消费电子，新一代AI服务器对PCB板的需求有何变化？</w:t>
      </w:r>
    </w:p>
    <w:p>
      <w:r>
        <w:rPr>
          <w:rFonts w:ascii="等线(中文正文)" w:hAnsi="等线(中文正文)" w:cs="等线(中文正文)" w:eastAsia="等线(中文正文)"/>
          <w:b w:val="false"/>
          <w:i w:val="false"/>
          <w:sz w:val="20"/>
        </w:rPr>
        <w:t>发言人1 答：对于新一代AI服务器，PCB板需求更看重高速信号电源分配、可靠热管理和整体系统可靠性。与传统消费电子相比，AI服务器不仅需要应对CPU、GPU专用芯片HBM以及交换芯片等复杂电源系统，还要求PCB板具备更高层次、更厚结构和更高端材料的支持，以实现线路更细、良率更高的制造要求。</w:t>
      </w:r>
    </w:p>
    <w:p>
      <w:r>
        <w:rPr>
          <w:rFonts w:ascii="等线(中文正文)" w:hAnsi="等线(中文正文)" w:cs="等线(中文正文)" w:eastAsia="等线(中文正文)"/>
          <w:b w:val="false"/>
          <w:i w:val="false"/>
          <w:sz w:val="20"/>
        </w:rPr>
        <w:t/>
      </w:r>
    </w:p>
    <w:p>
      <w:pPr>
        <w:pStyle w:val="ab"/>
      </w:pPr>
      <w:r>
        <w:t>发言人1 问：关于MLCC涨价的投资逻辑是什么？</w:t>
      </w:r>
    </w:p>
    <w:p>
      <w:r>
        <w:rPr>
          <w:rFonts w:ascii="等线(中文正文)" w:hAnsi="等线(中文正文)" w:cs="等线(中文正文)" w:eastAsia="等线(中文正文)"/>
          <w:b w:val="false"/>
          <w:i w:val="false"/>
          <w:sz w:val="20"/>
        </w:rPr>
        <w:t>发言人1 答：本轮MLCC涨价主要由AI服务器增长和贵金属涨价双重驱动。预计到2026年，AI服务器相关的MLCC需求将从2025年的5%增长至15%，行业整体需求同比增长20%。特别是AI服务器领域需求翻倍增长，叠加汽车消费电子行业需求，使得订单持续走高。目前，高端MLCC产品已出现涨价潮，且未来几个月内可能还会继续上调价格。同时，由于产能紧张和原材料供应限制，行业紧平衡格局至少将持续一年左右，为相关企业提供量价齐升的盈利机会，以及国产替代的逻辑支撑。</w:t>
      </w:r>
    </w:p>
    <w:p>
      <w:r>
        <w:rPr>
          <w:rFonts w:ascii="等线(中文正文)" w:hAnsi="等线(中文正文)" w:cs="等线(中文正文)" w:eastAsia="等线(中文正文)"/>
          <w:b w:val="false"/>
          <w:i w:val="false"/>
          <w:sz w:val="20"/>
        </w:rPr>
        <w:t/>
      </w:r>
    </w:p>
    <w:p>
      <w:pPr>
        <w:pStyle w:val="ab"/>
      </w:pPr>
      <w:r>
        <w:t>发言人1 问：中游制造方面有哪些值得关注的公司？对于AI需求高、产能受限的材料和设备行业，该如何进行产业链布局？</w:t>
      </w:r>
    </w:p>
    <w:p>
      <w:r>
        <w:rPr>
          <w:rFonts w:ascii="等线(中文正文)" w:hAnsi="等线(中文正文)" w:cs="等线(中文正文)" w:eastAsia="等线(中文正文)"/>
          <w:b w:val="false"/>
          <w:i w:val="false"/>
          <w:sz w:val="20"/>
        </w:rPr>
        <w:t>发言人1 答：中游制造方面，关注风华高科、昀冢科技和三环集团，它们承接了海外中低端制造转移并受益于涨价红利，同时高端产能也有部分转移。此外，从上游原材料角度看，供需环节紧张叠加国产替代空间较大，国瓷材料和博兴新材两家公司在材料和设备领域受益于需求放量。建议按照设备制造和原材料方向进行产业链布局，特别是MLCC这轮涨价周期具备持续性，由于材料与设备存在技术壁垒，因此在设备制造、原材料等方面寻找投资机会。</w:t>
      </w:r>
    </w:p>
    <w:p>
      <w:r>
        <w:rPr>
          <w:rFonts w:ascii="等线(中文正文)" w:hAnsi="等线(中文正文)" w:cs="等线(中文正文)" w:eastAsia="等线(中文正文)"/>
          <w:b w:val="false"/>
          <w:i w:val="false"/>
          <w:sz w:val="20"/>
        </w:rPr>
        <w:t/>
      </w:r>
    </w:p>
    <w:p>
      <w:pPr>
        <w:pStyle w:val="ab"/>
      </w:pPr>
      <w:r>
        <w:t>发言人1 问：成长光电公司的情况如何？</w:t>
      </w:r>
    </w:p>
    <w:p>
      <w:r>
        <w:rPr>
          <w:rFonts w:ascii="等线(中文正文)" w:hAnsi="等线(中文正文)" w:cs="等线(中文正文)" w:eastAsia="等线(中文正文)"/>
          <w:b w:val="false"/>
          <w:i w:val="false"/>
          <w:sz w:val="20"/>
        </w:rPr>
        <w:t>发言人1 答：成长光电是一家全球领先的智能触控显示设备供应商，拥有三十多年经验，主营产品包括智能车载显示屏、智能交互一体机和智能交互显示器等。今年预计至少有2亿以上的利润增长，主业ODM业务在商用领域处于领先地位，并积极拓展消费电子领域的第二成长曲线。此外，公司还与台湾TPK宸鸿科技深度绑定，在半导体先进封装赛道上合作研发高端芯片玻璃载板，有望从欧印半导体的红利中受益。</w:t>
      </w:r>
    </w:p>
    <w:p>
      <w:r>
        <w:rPr>
          <w:rFonts w:ascii="等线(中文正文)" w:hAnsi="等线(中文正文)" w:cs="等线(中文正文)" w:eastAsia="等线(中文正文)"/>
          <w:b w:val="false"/>
          <w:i w:val="false"/>
          <w:sz w:val="20"/>
        </w:rPr>
        <w:t/>
      </w:r>
    </w:p>
    <w:p>
      <w:pPr>
        <w:pStyle w:val="ab"/>
      </w:pPr>
      <w:r>
        <w:t>发言人1 问：交运板块中，集运、油运和散运三大子板块有何投资机会？</w:t>
      </w:r>
    </w:p>
    <w:p>
      <w:r>
        <w:rPr>
          <w:rFonts w:ascii="等线(中文正文)" w:hAnsi="等线(中文正文)" w:cs="等线(中文正文)" w:eastAsia="等线(中文正文)"/>
          <w:b w:val="false"/>
          <w:i w:val="false"/>
          <w:sz w:val="20"/>
        </w:rPr>
        <w:t>发言人1 答：现阶段，集运、油运和散运三大核心子板块都具备投资机会。近期由于市场因素影响，中远海能、招商轮船等核心标的阶段性回落至估值安全边际区间，建议逢低关注。长远来看，通航后需求集中释放将带来运价弹性空间，同时假设事态平息后伊朗回归合规市场，将进一步催化供需格局。对于原油库存去库和补库逻辑的担忧，分析认为库存去化时点可能在四月份开始，且供给端缓冲工具逐渐减少，而需求端存在回补可能，预计未来6到7月份会出现实质性变化，目前是较好的逢低关注时机。</w:t>
      </w:r>
    </w:p>
    <w:p>
      <w:r>
        <w:rPr>
          <w:rFonts w:ascii="等线(中文正文)" w:hAnsi="等线(中文正文)" w:cs="等线(中文正文)" w:eastAsia="等线(中文正文)"/>
          <w:b w:val="false"/>
          <w:i w:val="false"/>
          <w:sz w:val="20"/>
        </w:rPr>
        <w:t/>
      </w:r>
    </w:p>
    <w:p>
      <w:pPr>
        <w:pStyle w:val="ab"/>
      </w:pPr>
      <w:r>
        <w:t>发言人1 问：在干散货海运板块中，近期BDI的驱动因素是什么？</w:t>
      </w:r>
    </w:p>
    <w:p>
      <w:r>
        <w:rPr>
          <w:rFonts w:ascii="等线(中文正文)" w:hAnsi="等线(中文正文)" w:cs="等线(中文正文)" w:eastAsia="等线(中文正文)"/>
          <w:b w:val="false"/>
          <w:i w:val="false"/>
          <w:sz w:val="20"/>
        </w:rPr>
        <w:t>发言人1 答：近期BDI的驱动因素主要区别于其他行业板块，以地缘扰动为主，而干散货海运则以需求为主。中期逻辑上，铁矿石、铝土矿和南美粮食的增产将为近2到3年的干散货需求提供充足的支撑。短期内，澳洲矿商的财报季冲量导致发货量理想，铝土矿方面，几内亚控制出口的动作是为了支撑价格，并非绝对禁止出口，预计在价格合适的情况下，未来铝土矿出口会恢复到正常节奏。</w:t>
      </w:r>
    </w:p>
    <w:p>
      <w:r>
        <w:rPr>
          <w:rFonts w:ascii="等线(中文正文)" w:hAnsi="等线(中文正文)" w:cs="等线(中文正文)" w:eastAsia="等线(中文正文)"/>
          <w:b w:val="false"/>
          <w:i w:val="false"/>
          <w:sz w:val="20"/>
        </w:rPr>
        <w:t/>
      </w:r>
    </w:p>
    <w:p>
      <w:pPr>
        <w:pStyle w:val="ab"/>
      </w:pPr>
      <w:r>
        <w:t>发言人1 问：对于干散货海运市场的后续展望如何？</w:t>
      </w:r>
    </w:p>
    <w:p>
      <w:r>
        <w:rPr>
          <w:rFonts w:ascii="等线(中文正文)" w:hAnsi="等线(中文正文)" w:cs="等线(中文正文)" w:eastAsia="等线(中文正文)"/>
          <w:b w:val="false"/>
          <w:i w:val="false"/>
          <w:sz w:val="20"/>
        </w:rPr>
        <w:t>发言人1 答：短期内，钢材和海运市场继续看好，因为需求端在澳洲铁矿、粮食和煤炭的带动下有所回补，整体需求维持乐观。同时，供给端受到高油价影响导致降速、巴拿马运河拥堵等供应链扰动，有效供给面临损耗。此外，干散货海运周期位置较好，需求端铁矿、铝土矿、南美粮食具有可持续的需求催化作用，因此中周期内干散货海运需求依然值得看好。</w:t>
      </w:r>
    </w:p>
    <w:p>
      <w:r>
        <w:rPr>
          <w:rFonts w:ascii="等线(中文正文)" w:hAnsi="等线(中文正文)" w:cs="等线(中文正文)" w:eastAsia="等线(中文正文)"/>
          <w:b w:val="false"/>
          <w:i w:val="false"/>
          <w:sz w:val="20"/>
        </w:rPr>
        <w:t/>
      </w:r>
    </w:p>
    <w:p>
      <w:pPr>
        <w:pStyle w:val="ab"/>
      </w:pPr>
      <w:r>
        <w:t>发言人1 问：集运市场的当前状况和前景怎样？</w:t>
      </w:r>
    </w:p>
    <w:p>
      <w:r>
        <w:rPr>
          <w:rFonts w:ascii="等线(中文正文)" w:hAnsi="等线(中文正文)" w:cs="等线(中文正文)" w:eastAsia="等线(中文正文)"/>
          <w:b w:val="false"/>
          <w:i w:val="false"/>
          <w:sz w:val="20"/>
        </w:rPr>
        <w:t>发言人1 答：集运市场目前受到供应链事件的影响，运价在本周有所上升，船公司对未来涨价持积极态度。短期运价上涨的原因包括地缘政治局势扰动、燃油成本增加以及供应链效率降低等，导致有效供给减少。随着欧线美线由淡转旺的需求催化以及美线可能出现的抢运和旺季前置效应，预计5至8月份将呈现理想的旺季行情。若供应链扰动持续发酵，集运运价将从季节性行情切换到整个供应链行情，中远海控等龙头公司的报表端表现和股东回报有望受益于运价托底及利息收入加投资收益，建议关注中远海控的核心地位。</w:t>
      </w:r>
    </w:p>
    <w:p>
      <w:r>
        <w:rPr>
          <w:rFonts w:ascii="等线(中文正文)" w:hAnsi="等线(中文正文)" w:cs="等线(中文正文)" w:eastAsia="等线(中文正文)"/>
          <w:b w:val="false"/>
          <w:i w:val="false"/>
          <w:sz w:val="20"/>
        </w:rPr>
        <w:t/>
      </w:r>
    </w:p>
    <w:p>
      <w:pPr>
        <w:pStyle w:val="ab"/>
      </w:pPr>
      <w:r>
        <w:t>发言人1 问：军工板块中兵红箭有哪些投资亮点？</w:t>
      </w:r>
    </w:p>
    <w:p>
      <w:r>
        <w:rPr>
          <w:rFonts w:ascii="等线(中文正文)" w:hAnsi="等线(中文正文)" w:cs="等线(中文正文)" w:eastAsia="等线(中文正文)"/>
          <w:b w:val="false"/>
          <w:i w:val="false"/>
          <w:sz w:val="20"/>
        </w:rPr>
        <w:t>发言人1 答：中兵红箭作为兵器工业集团的核心弹药总装基地之一，承担先进智能弹药总装及核心配套，并通过子公司中南钻石在全球超硬材料领域建立了稳固的龙头地位，完成了锯切磨抛、工业金刚石及消费钻石三大核心领域的布局，具有强大的竞争力。随着民品业务的快速放量，公司业绩有望持续增长，特别是在金刚石散热领域，随着金刚石散热技术的应用拓展和市场规模的扩大，中南钻石凭借多年积累的技术优势有望迎来业务全面爆发。</w:t>
      </w:r>
    </w:p>
    <w:p>
      <w:r>
        <w:rPr>
          <w:rFonts w:ascii="等线(中文正文)" w:hAnsi="等线(中文正文)" w:cs="等线(中文正文)" w:eastAsia="等线(中文正文)"/>
          <w:b w:val="false"/>
          <w:i w:val="false"/>
          <w:sz w:val="20"/>
        </w:rPr>
        <w:t/>
      </w:r>
    </w:p>
    <w:p>
      <w:pPr>
        <w:pStyle w:val="ab"/>
      </w:pPr>
      <w:r>
        <w:t>发言人1 问：公司创新材料领域的业务增长情况如何？</w:t>
      </w:r>
    </w:p>
    <w:p>
      <w:r>
        <w:rPr>
          <w:rFonts w:ascii="等线(中文正文)" w:hAnsi="等线(中文正文)" w:cs="等线(中文正文)" w:eastAsia="等线(中文正文)"/>
          <w:b w:val="false"/>
          <w:i w:val="false"/>
          <w:sz w:val="20"/>
        </w:rPr>
        <w:t>发言人1 答：公司在创新材料领域保持领先地位，其在传统切削、磨抛行业的市场份额较大且需求相对平稳。消费钻石领域的全球渗透率持续提升，年复合增长率达20%。在工业金刚石领域，下游光伏硅片切割、半导体晶圆研磨等需求不断增长，成为近年增长最快的赛道。除了金刚石散热外，其他车用材料领域预计未来也会有较快增长，价格将在底部触底后全面反弹。公司凭借头部优势、品质和规模领先，盈利能力将持续修复。</w:t>
      </w:r>
    </w:p>
    <w:p>
      <w:r>
        <w:rPr>
          <w:rFonts w:ascii="等线(中文正文)" w:hAnsi="等线(中文正文)" w:cs="等线(中文正文)" w:eastAsia="等线(中文正文)"/>
          <w:b w:val="false"/>
          <w:i w:val="false"/>
          <w:sz w:val="20"/>
        </w:rPr>
        <w:t/>
      </w:r>
    </w:p>
    <w:p>
      <w:pPr>
        <w:pStyle w:val="ab"/>
      </w:pPr>
      <w:r>
        <w:t>发言人1 问：公司先进智能弹药业务的发展状况如何？</w:t>
      </w:r>
    </w:p>
    <w:p>
      <w:r>
        <w:rPr>
          <w:rFonts w:ascii="等线(中文正文)" w:hAnsi="等线(中文正文)" w:cs="等线(中文正文)" w:eastAsia="等线(中文正文)"/>
          <w:b w:val="false"/>
          <w:i w:val="false"/>
          <w:sz w:val="20"/>
        </w:rPr>
        <w:t>发言人1 答：先进智能弹药业务受益于民品内需和外贸双重驱动，有望在今年实现全面放量。随着相关政策明确，相关订单预计在今年三季度或下半年签订。随着订单持续交付，公司的营收和盈利将实现快速增长。</w:t>
      </w:r>
    </w:p>
    <w:p>
      <w:r>
        <w:rPr>
          <w:rFonts w:ascii="等线(中文正文)" w:hAnsi="等线(中文正文)" w:cs="等线(中文正文)" w:eastAsia="等线(中文正文)"/>
          <w:b w:val="false"/>
          <w:i w:val="false"/>
          <w:sz w:val="20"/>
        </w:rPr>
        <w:t/>
      </w:r>
    </w:p>
    <w:p>
      <w:pPr>
        <w:pStyle w:val="ab"/>
      </w:pPr>
      <w:r>
        <w:t>发言人1 问：公司在军贸方面的表现怎样？</w:t>
      </w:r>
    </w:p>
    <w:p>
      <w:r>
        <w:rPr>
          <w:rFonts w:ascii="等线(中文正文)" w:hAnsi="等线(中文正文)" w:cs="等线(中文正文)" w:eastAsia="等线(中文正文)"/>
          <w:b w:val="false"/>
          <w:i w:val="false"/>
          <w:sz w:val="20"/>
        </w:rPr>
        <w:t>发言人1 答：公司在军贸领域的产品因全球军费进入新一轮增长期而受益，尤其在远火、空地导弹、反坦克导弹及传统弹药领域具有良好的积累和稳定的客户资源。无论是中东、阿拉伯地区还是东南亚等地，军贸业务有望持续开展，为公司带来稳定的收入和利润贡献。</w:t>
      </w:r>
    </w:p>
    <w:p>
      <w:r>
        <w:rPr>
          <w:rFonts w:ascii="等线(中文正文)" w:hAnsi="等线(中文正文)" w:cs="等线(中文正文)" w:eastAsia="等线(中文正文)"/>
          <w:b w:val="false"/>
          <w:i w:val="false"/>
          <w:sz w:val="20"/>
        </w:rPr>
        <w:t/>
      </w:r>
    </w:p>
    <w:p>
      <w:pPr>
        <w:pStyle w:val="ab"/>
      </w:pPr>
      <w:r>
        <w:t>发言人1 问：关于比亚迪的智能化战略发布会有哪些重要内容？</w:t>
      </w:r>
    </w:p>
    <w:p>
      <w:r>
        <w:rPr>
          <w:rFonts w:ascii="等线(中文正文)" w:hAnsi="等线(中文正文)" w:cs="等线(中文正文)" w:eastAsia="等线(中文正文)"/>
          <w:b w:val="false"/>
          <w:i w:val="false"/>
          <w:sz w:val="20"/>
        </w:rPr>
        <w:t>发言人1 答：比亚迪召开了智能化战略发布会，宣布将为智能泊车安全和城市领航安全提供保障，并率先承诺为自动驾驶技术的安全应用负责一年。发布会上还推出了中国首款4纳米制程自家芯片全GA3，支持L3-L4级自动驾驶，以及进行了天然之眼支架架构、传感器、算法和数据四大升级。比亚迪此举有望加速整体行业渗透率，并对相关支架板块产生促进作用。</w:t>
      </w:r>
    </w:p>
    <w:p>
      <w:r>
        <w:rPr>
          <w:rFonts w:ascii="等线(中文正文)" w:hAnsi="等线(中文正文)" w:cs="等线(中文正文)" w:eastAsia="等线(中文正文)"/>
          <w:b w:val="false"/>
          <w:i w:val="false"/>
          <w:sz w:val="20"/>
        </w:rPr>
        <w:t/>
      </w:r>
    </w:p>
    <w:p>
      <w:pPr>
        <w:pStyle w:val="ab"/>
      </w:pPr>
      <w:r>
        <w:t>发言人1 问：对于语数科技和部分车企的最新动态有何见解？</w:t>
      </w:r>
    </w:p>
    <w:p>
      <w:r>
        <w:rPr>
          <w:rFonts w:ascii="等线(中文正文)" w:hAnsi="等线(中文正文)" w:cs="等线(中文正文)" w:eastAsia="等线(中文正文)"/>
          <w:b w:val="false"/>
          <w:i w:val="false"/>
          <w:sz w:val="20"/>
        </w:rPr>
        <w:t>发言人1 答：语数科技H1整体营业收入约为10.5亿至11.3亿元，同比增长36%至45%，净利润约为2.36亿至2.83亿元，同比降幅较前一季度有所缩小回升。理想小鹏和蔚来汽车也分别发布了各自的业绩和新车信息，其中蔚来ES9在底盘科技、三电和算力方面进行了优化升级。</w:t>
      </w:r>
    </w:p>
    <w:p>
      <w:r>
        <w:rPr>
          <w:rFonts w:ascii="等线(中文正文)" w:hAnsi="等线(中文正文)" w:cs="等线(中文正文)" w:eastAsia="等线(中文正文)"/>
          <w:b w:val="false"/>
          <w:i w:val="false"/>
          <w:sz w:val="20"/>
        </w:rPr>
        <w:t/>
      </w:r>
    </w:p>
    <w:p>
      <w:pPr>
        <w:pStyle w:val="ab"/>
      </w:pPr>
      <w:r>
        <w:t>发言人1 问：当前投资重点方向有哪些？</w:t>
      </w:r>
    </w:p>
    <w:p>
      <w:r>
        <w:rPr>
          <w:rFonts w:ascii="等线(中文正文)" w:hAnsi="等线(中文正文)" w:cs="等线(中文正文)" w:eastAsia="等线(中文正文)"/>
          <w:b w:val="false"/>
          <w:i w:val="false"/>
          <w:sz w:val="20"/>
        </w:rPr>
        <w:t>发言人1 答：投资重点主要有三个方面：首先，看好六月汽车板块出海主题修复，尤其关注六月内需逐步修复和出口市场的机遇；其次，在业绩真空期积极把握主题性行情轮动机会，如液冷缺电和商业航天等高景气主题；最后，聚焦核心商用车零部件估值与业绩双击的机遇，特别是那些长期放量和北美电力紧缺共振下具备明确边际利润改善和收购动能的标的。</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2026-05-31T15:10:21Z</dcterms:created>
  <dc:creator>Apache POI</dc:creator>
</cp:coreProperties>
</file>