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华鑫研究  六月十大金股会议&amp;鑫风向 260531_导读</w:t>
      </w:r>
    </w:p>
    <w:p>
      <w:pPr>
        <w:pStyle w:val="a0"/>
        <w:jc w:val="center"/>
      </w:pPr>
      <w:r>
        <w:t>2026年05月31日 23:01</w:t>
      </w:r>
    </w:p>
    <w:p>
      <w:pPr>
        <w:pStyle w:val="a7"/>
      </w:pPr>
      <w:r>
        <w:t>关键词</w:t>
      </w:r>
    </w:p>
    <w:p>
      <w:r>
        <w:rPr>
          <w:rFonts w:ascii="等线(中文正文)" w:hAnsi="等线(中文正文)" w:cs="等线(中文正文)" w:eastAsia="等线(中文正文)"/>
          <w:b w:val="false"/>
          <w:i w:val="false"/>
          <w:sz w:val="20"/>
        </w:rPr>
        <w:t xml:space="preserve">宏观流动性 六月 轮动机会 黄金 AI算力 防御性板块 美股 流动性双杀 通胀 滞胀 美债 科技股 硬件 软件 避险资产 仓位 债券 风险偏好 股债双杀 光模块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六月份金融市场和投资策略讨论聚焦于内外波动放大可能导致的投资机会轮动，建议关注公众号“思维纪要社”获取深入分析。海外市场面临流动性双杀和高波动，受CBX IPO和美联储新规影响，中期选举亦带来压力，投资策略宜保守。硬件成长波动，软件性价比提升，黄金配置价值显现。在国内，AI算力被视为高景气度领域，短期波动不改中长期牛市，建议调低成长性持仓，增配防御性板块，把握电子、新能源、医药、食品等行业的结构性机会。强调特定公司如宁德时代、一方生物等在各自领域内的竞争优势和成长潜力。整体而言，会议强调了在波动放大下的轮动机会和行业细分领域的投资机遇。</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六月资产配置策略：内外波动放大下的轮动机会</w:t>
      </w:r>
    </w:p>
    <w:p>
      <w:r>
        <w:rPr>
          <w:rFonts w:ascii="等线(中文正文)" w:hAnsi="等线(中文正文)" w:cs="等线(中文正文)" w:eastAsia="等线(中文正文)"/>
          <w:b w:val="false"/>
          <w:i w:val="false"/>
          <w:sz w:val="20"/>
        </w:rPr>
        <w:t>六月市场面临内外波动放大的挑战，海外流动性双杀和高波动共振，策略上建议保守应对，关注黄金配置及软件性价比。国内AI算力景气持续，但短期波动可能放大，建议调低成长单位，增配防御性低位板块，把握节奏与景气风格再平衡的轮动机会。</w:t>
      </w:r>
    </w:p>
    <w:p>
      <w:r>
        <w:rPr>
          <w:rFonts w:ascii="等线(中文正文)" w:hAnsi="等线(中文正文)" w:cs="等线(中文正文)" w:eastAsia="等线(中文正文)"/>
          <w:b w:val="false"/>
          <w:i w:val="false"/>
          <w:sz w:val="20"/>
        </w:rPr>
        <w:t/>
      </w:r>
    </w:p>
    <w:p>
      <w:pPr>
        <w:pStyle w:val="ab"/>
        <w:numPr>
          <w:numId w:val="2"/>
        </w:numPr>
      </w:pPr>
      <w:r>
        <w:t>01:43 海外流动性双杀与宏观波动风险分析</w:t>
      </w:r>
    </w:p>
    <w:p>
      <w:r>
        <w:rPr>
          <w:rFonts w:ascii="等线(中文正文)" w:hAnsi="等线(中文正文)" w:cs="等线(中文正文)" w:eastAsia="等线(中文正文)"/>
          <w:b w:val="false"/>
          <w:i w:val="false"/>
          <w:sz w:val="20"/>
        </w:rPr>
        <w:t>六月可能面临流动性抽水共振，包括CVS上市引发科技股虹吸效应及新联储主席的QTE操作预紧缩预期。联储双头格局可能导致政策指引失效，核心通胀未达低点加剧货币政策困境。全美初选集中期及中美关系变化可能加剧市场波动，特朗普的非传统手段亦成不确定因素。</w:t>
      </w:r>
    </w:p>
    <w:p>
      <w:r>
        <w:rPr>
          <w:rFonts w:ascii="等线(中文正文)" w:hAnsi="等线(中文正文)" w:cs="等线(中文正文)" w:eastAsia="等线(中文正文)"/>
          <w:b w:val="false"/>
          <w:i w:val="false"/>
          <w:sz w:val="20"/>
        </w:rPr>
        <w:t/>
      </w:r>
    </w:p>
    <w:p>
      <w:pPr>
        <w:pStyle w:val="ab"/>
        <w:numPr>
          <w:numId w:val="3"/>
        </w:numPr>
      </w:pPr>
      <w:r>
        <w:t>04:43 全球政治风险与资产配置策略分析</w:t>
      </w:r>
    </w:p>
    <w:p>
      <w:r>
        <w:rPr>
          <w:rFonts w:ascii="等线(中文正文)" w:hAnsi="等线(中文正文)" w:cs="等线(中文正文)" w:eastAsia="等线(中文正文)"/>
          <w:b w:val="false"/>
          <w:i w:val="false"/>
          <w:sz w:val="20"/>
        </w:rPr>
        <w:t>讨论了海外政治风险对油价和宏观流动性的影响，建议美股采取杠铃策略，硬件减仓软件加仓，黄金作为避险资产配置；美债短期持有长端等待高位配置机会；黄金维持逢低配置策略；国内AI硬件产业链高景气，上游资源利润加速修复，经济数据外强内弱，预计五月份数据回暖。</w:t>
      </w:r>
    </w:p>
    <w:p>
      <w:r>
        <w:rPr>
          <w:rFonts w:ascii="等线(中文正文)" w:hAnsi="等线(中文正文)" w:cs="等线(中文正文)" w:eastAsia="等线(中文正文)"/>
          <w:b w:val="false"/>
          <w:i w:val="false"/>
          <w:sz w:val="20"/>
        </w:rPr>
        <w:t/>
      </w:r>
    </w:p>
    <w:p>
      <w:pPr>
        <w:pStyle w:val="ab"/>
        <w:numPr>
          <w:numId w:val="4"/>
        </w:numPr>
      </w:pPr>
      <w:r>
        <w:t>07:52 A股市场震荡整固，科技与防御板块轮动机会显现</w:t>
      </w:r>
    </w:p>
    <w:p>
      <w:r>
        <w:rPr>
          <w:rFonts w:ascii="等线(中文正文)" w:hAnsi="等线(中文正文)" w:cs="等线(中文正文)" w:eastAsia="等线(中文正文)"/>
          <w:b w:val="false"/>
          <w:i w:val="false"/>
          <w:sz w:val="20"/>
        </w:rPr>
        <w:t>讨论了A股市场在大型IPO及美伊谈判等背景下可能经历的短期震荡整固，强调科技景气与宽流动性支撑中长期牛市格局。建议调仓至防御属性板块，把握AI算力、景气改善及低位防御方向的轮动机会，如光模块、锂电、电力和银行等。</w:t>
      </w:r>
    </w:p>
    <w:p>
      <w:r>
        <w:rPr>
          <w:rFonts w:ascii="等线(中文正文)" w:hAnsi="等线(中文正文)" w:cs="等线(中文正文)" w:eastAsia="等线(中文正文)"/>
          <w:b w:val="false"/>
          <w:i w:val="false"/>
          <w:sz w:val="20"/>
        </w:rPr>
        <w:t/>
      </w:r>
    </w:p>
    <w:p>
      <w:pPr>
        <w:pStyle w:val="ab"/>
        <w:numPr>
          <w:numId w:val="5"/>
        </w:numPr>
      </w:pPr>
      <w:r>
        <w:t>10:21 宏观流动性驱动下六月股市与债市展望</w:t>
      </w:r>
    </w:p>
    <w:p>
      <w:r>
        <w:rPr>
          <w:rFonts w:ascii="等线(中文正文)" w:hAnsi="等线(中文正文)" w:cs="等线(中文正文)" w:eastAsia="等线(中文正文)"/>
          <w:b w:val="false"/>
          <w:i w:val="false"/>
          <w:sz w:val="20"/>
        </w:rPr>
        <w:t>对话回顾了五月市场表现，指出宏观流动性驱动逻辑显著，风险偏好影响有限。展望六月，预计宏观流动性边际收敛，建议采取防御策略，降低仓位，关注低估值资产。债券参与价值有限，收益率空间不大。七月宏观流动性改善概率大，但需观察具体时间点。整体建议谨慎操作，等待机会。</w:t>
      </w:r>
    </w:p>
    <w:p>
      <w:r>
        <w:rPr>
          <w:rFonts w:ascii="等线(中文正文)" w:hAnsi="等线(中文正文)" w:cs="等线(中文正文)" w:eastAsia="等线(中文正文)"/>
          <w:b w:val="false"/>
          <w:i w:val="false"/>
          <w:sz w:val="20"/>
        </w:rPr>
        <w:t/>
      </w:r>
    </w:p>
    <w:p>
      <w:pPr>
        <w:pStyle w:val="ab"/>
        <w:numPr>
          <w:numId w:val="6"/>
        </w:numPr>
      </w:pPr>
      <w:r>
        <w:t>15:52 电子组金股推荐：新易盛光模块增长潜力</w:t>
      </w:r>
    </w:p>
    <w:p>
      <w:r>
        <w:rPr>
          <w:rFonts w:ascii="等线(中文正文)" w:hAnsi="等线(中文正文)" w:cs="等线(中文正文)" w:eastAsia="等线(中文正文)"/>
          <w:b w:val="false"/>
          <w:i w:val="false"/>
          <w:sz w:val="20"/>
        </w:rPr>
        <w:t>电子组推荐新易盛为本月金股，基于海外算力需求增长及光模块市场预期上修，尤其是1.6T光模块需求。尽管一季度受物料紧缺影响，龙头企业的业绩释放受限，但预计二季度物料短缺缓解将带来业绩环比改善。公司正积极备货，看好新型光互联产品如NPU和CPU的市场放量带来的增长弹性。</w:t>
      </w:r>
    </w:p>
    <w:p>
      <w:r>
        <w:rPr>
          <w:rFonts w:ascii="等线(中文正文)" w:hAnsi="等线(中文正文)" w:cs="等线(中文正文)" w:eastAsia="等线(中文正文)"/>
          <w:b w:val="false"/>
          <w:i w:val="false"/>
          <w:sz w:val="20"/>
        </w:rPr>
        <w:t/>
      </w:r>
    </w:p>
    <w:p>
      <w:pPr>
        <w:pStyle w:val="ab"/>
        <w:numPr>
          <w:numId w:val="7"/>
        </w:numPr>
      </w:pPr>
      <w:r>
        <w:t>17:53 新增科技与拓金科技在电子通信领域的投资逻辑</w:t>
      </w:r>
    </w:p>
    <w:p>
      <w:r>
        <w:rPr>
          <w:rFonts w:ascii="等线(中文正文)" w:hAnsi="等线(中文正文)" w:cs="等线(中文正文)" w:eastAsia="等线(中文正文)"/>
          <w:b w:val="false"/>
          <w:i w:val="false"/>
          <w:sz w:val="20"/>
        </w:rPr>
        <w:t>新增科技因其高阶HDI和IC载板能力，以及m sup工艺的扩产计划，被视为光模块上游供需紧张的关键解决方案，预计扩产规模将远超现有水平。拓金科技则受益于国产算力增长和存储技术进步，特别是在薄膜沉积设备和三维集成技术方面的产品布局，有望在国产算力行情中获得显著收益。两者均被视为电子通信领域值得投资的金股。</w:t>
      </w:r>
    </w:p>
    <w:p>
      <w:r>
        <w:rPr>
          <w:rFonts w:ascii="等线(中文正文)" w:hAnsi="等线(中文正文)" w:cs="等线(中文正文)" w:eastAsia="等线(中文正文)"/>
          <w:b w:val="false"/>
          <w:i w:val="false"/>
          <w:sz w:val="20"/>
        </w:rPr>
        <w:t/>
      </w:r>
    </w:p>
    <w:p>
      <w:pPr>
        <w:pStyle w:val="ab"/>
        <w:numPr>
          <w:numId w:val="8"/>
        </w:numPr>
      </w:pPr>
      <w:r>
        <w:t>22:15 罗伯特科公司光互联技术及OCS业务进展</w:t>
      </w:r>
    </w:p>
    <w:p>
      <w:r>
        <w:rPr>
          <w:rFonts w:ascii="等线(中文正文)" w:hAnsi="等线(中文正文)" w:cs="等线(中文正文)" w:eastAsia="等线(中文正文)"/>
          <w:b w:val="false"/>
          <w:i w:val="false"/>
          <w:sz w:val="20"/>
        </w:rPr>
        <w:t>汇报了罗伯特科公司在光互联领域的技术优势，包括高精度运动控制及工艺算法软件的研发，以及与英伟达的深度合作。介绍了公司子公司非刚泰在OCS技术领域获得的重大订单，如与瑞士头部公司签订的全自动硅光子封装整线设备订单。此外，还提到了公司在光模块领域的技术突破，以及产能扩建和港股上市计划，强调了业绩增长的确定性。</w:t>
      </w:r>
    </w:p>
    <w:p>
      <w:r>
        <w:rPr>
          <w:rFonts w:ascii="等线(中文正文)" w:hAnsi="等线(中文正文)" w:cs="等线(中文正文)" w:eastAsia="等线(中文正文)"/>
          <w:b w:val="false"/>
          <w:i w:val="false"/>
          <w:sz w:val="20"/>
        </w:rPr>
        <w:t/>
      </w:r>
    </w:p>
    <w:p>
      <w:pPr>
        <w:pStyle w:val="ab"/>
        <w:numPr>
          <w:numId w:val="9"/>
        </w:numPr>
      </w:pPr>
      <w:r>
        <w:t>24:32 机器人板块分析与六月市场机会</w:t>
      </w:r>
    </w:p>
    <w:p>
      <w:r>
        <w:rPr>
          <w:rFonts w:ascii="等线(中文正文)" w:hAnsi="等线(中文正文)" w:cs="等线(中文正文)" w:eastAsia="等线(中文正文)"/>
          <w:b w:val="false"/>
          <w:i w:val="false"/>
          <w:sz w:val="20"/>
        </w:rPr>
        <w:t>五月份机器人板块经历强力反弹，但近期因资金面和消息影响出现调整，此被视作错杀。六月份，特斯拉量产爬坡及国内头部整机上市预计成为板块催化节点，魔术科技作为核心供应商，有望在国内外共振下跑出超额阿尔法，其市值预期可达300亿。</w:t>
      </w:r>
    </w:p>
    <w:p>
      <w:r>
        <w:rPr>
          <w:rFonts w:ascii="等线(中文正文)" w:hAnsi="等线(中文正文)" w:cs="等线(中文正文)" w:eastAsia="等线(中文正文)"/>
          <w:b w:val="false"/>
          <w:i w:val="false"/>
          <w:sz w:val="20"/>
        </w:rPr>
        <w:t/>
      </w:r>
    </w:p>
    <w:p>
      <w:pPr>
        <w:pStyle w:val="ab"/>
        <w:numPr>
          <w:numId w:val="10"/>
        </w:numPr>
      </w:pPr>
      <w:r>
        <w:t>30:10 新能源金股推荐：宁德时代</w:t>
      </w:r>
    </w:p>
    <w:p>
      <w:r>
        <w:rPr>
          <w:rFonts w:ascii="等线(中文正文)" w:hAnsi="等线(中文正文)" w:cs="等线(中文正文)" w:eastAsia="等线(中文正文)"/>
          <w:b w:val="false"/>
          <w:i w:val="false"/>
          <w:sz w:val="20"/>
        </w:rPr>
        <w:t>分享了新能源领域六月金股宁德时代，强调其行业地位无可撼动，无论在国内还是海外均遥遥领先，且在成本、盈利能力等方面行业领先。当前锂电行业量价齐升，业绩表现优秀，加之估值优势，使宁德时代成为优选。</w:t>
      </w:r>
    </w:p>
    <w:p>
      <w:r>
        <w:rPr>
          <w:rFonts w:ascii="等线(中文正文)" w:hAnsi="等线(中文正文)" w:cs="等线(中文正文)" w:eastAsia="等线(中文正文)"/>
          <w:b w:val="false"/>
          <w:i w:val="false"/>
          <w:sz w:val="20"/>
        </w:rPr>
        <w:t/>
      </w:r>
    </w:p>
    <w:p>
      <w:pPr>
        <w:pStyle w:val="ab"/>
        <w:numPr>
          <w:numId w:val="11"/>
        </w:numPr>
      </w:pPr>
      <w:r>
        <w:t>33:04 医药与食品医疗行业金股推荐</w:t>
      </w:r>
    </w:p>
    <w:p>
      <w:r>
        <w:rPr>
          <w:rFonts w:ascii="等线(中文正文)" w:hAnsi="等线(中文正文)" w:cs="等线(中文正文)" w:eastAsia="等线(中文正文)"/>
          <w:b w:val="false"/>
          <w:i w:val="false"/>
          <w:sz w:val="20"/>
        </w:rPr>
        <w:t>分享了医药领域中创新药的市场趋势，特别是小分子药物对外授权的潜力，并重点推荐了一家在d two靶点研究领先的企业，其产品具有成为best in class的潜力。此外，还提到了该公司在抗肺癌药物研发上的成就及海外临床进展。随后，转向食品医疗行业，提及金谷有友食品的推荐，但具体细节未展开。整体讨论了两个行业的投资价值与市场表现。</w:t>
      </w:r>
    </w:p>
    <w:p>
      <w:r>
        <w:rPr>
          <w:rFonts w:ascii="等线(中文正文)" w:hAnsi="等线(中文正文)" w:cs="等线(中文正文)" w:eastAsia="等线(中文正文)"/>
          <w:b w:val="false"/>
          <w:i w:val="false"/>
          <w:sz w:val="20"/>
        </w:rPr>
        <w:t/>
      </w:r>
    </w:p>
    <w:p>
      <w:pPr>
        <w:pStyle w:val="ab"/>
        <w:numPr>
          <w:numId w:val="12"/>
        </w:numPr>
      </w:pPr>
      <w:r>
        <w:t>38:20 食品公司业绩与市场预期分析</w:t>
      </w:r>
    </w:p>
    <w:p>
      <w:r>
        <w:rPr>
          <w:rFonts w:ascii="等线(中文正文)" w:hAnsi="等线(中文正文)" w:cs="等线(中文正文)" w:eastAsia="等线(中文正文)"/>
          <w:b w:val="false"/>
          <w:i w:val="false"/>
          <w:sz w:val="20"/>
        </w:rPr>
        <w:t>对话围绕食品公司的业务进展、成本控制与市场预期展开，强调了公司在山姆渠道的潜力、成本平稳趋势以及市场对高成长性的认可，特别是公司进入新渠道后市值突破50亿，显示了其在行业中的强劲表现和投资者信心。</w:t>
      </w:r>
    </w:p>
    <w:p>
      <w:r>
        <w:rPr>
          <w:rFonts w:ascii="等线(中文正文)" w:hAnsi="等线(中文正文)" w:cs="等线(中文正文)" w:eastAsia="等线(中文正文)"/>
          <w:b w:val="false"/>
          <w:i w:val="false"/>
          <w:sz w:val="20"/>
        </w:rPr>
        <w:t/>
      </w:r>
    </w:p>
    <w:p>
      <w:pPr>
        <w:pStyle w:val="ab"/>
        <w:numPr>
          <w:numId w:val="13"/>
        </w:numPr>
      </w:pPr>
      <w:r>
        <w:t>40:19 电解铝板块投资价值与分红亮点</w:t>
      </w:r>
    </w:p>
    <w:p>
      <w:r>
        <w:rPr>
          <w:rFonts w:ascii="等线(中文正文)" w:hAnsi="等线(中文正文)" w:cs="等线(中文正文)" w:eastAsia="等线(中文正文)"/>
          <w:b w:val="false"/>
          <w:i w:val="false"/>
          <w:sz w:val="20"/>
        </w:rPr>
        <w:t>分享了中国铝业的投资价值，强调其电解铝板块低估值和业绩弹性，海外资产收购带来的增量，以及2025年高达36%的分红比例和平均2.2%以上的股息率，电解铝价格和股息率是关注重点。</w:t>
      </w:r>
    </w:p>
    <w:p>
      <w:r>
        <w:rPr>
          <w:rFonts w:ascii="等线(中文正文)" w:hAnsi="等线(中文正文)" w:cs="等线(中文正文)" w:eastAsia="等线(中文正文)"/>
          <w:b w:val="false"/>
          <w:i w:val="false"/>
          <w:sz w:val="20"/>
        </w:rPr>
        <w:t/>
      </w:r>
    </w:p>
    <w:p>
      <w:pPr>
        <w:pStyle w:val="ab"/>
        <w:numPr>
          <w:numId w:val="14"/>
        </w:numPr>
      </w:pPr>
      <w:r>
        <w:t>42:18 中国铝业与国盛矿业的业务动态及铝产业链价值重估</w:t>
      </w:r>
    </w:p>
    <w:p>
      <w:r>
        <w:rPr>
          <w:rFonts w:ascii="等线(中文正文)" w:hAnsi="等线(中文正文)" w:cs="等线(中文正文)" w:eastAsia="等线(中文正文)"/>
          <w:b w:val="false"/>
          <w:i w:val="false"/>
          <w:sz w:val="20"/>
        </w:rPr>
        <w:t>中国铝业计划通过收购巴西里约热内卢股权提升氧化铝和电解铝产能，同时几内亚铝土矿扩建计划提升年产量，铝土矿价值重估；国盛矿业涉及物金矿及铝矿锂盐业务，其物金矿业务本月有更新，铝矿锂盐业务为另一重点。</w:t>
      </w:r>
    </w:p>
    <w:p>
      <w:r>
        <w:rPr>
          <w:rFonts w:ascii="等线(中文正文)" w:hAnsi="等线(中文正文)" w:cs="等线(中文正文)" w:eastAsia="等线(中文正文)"/>
          <w:b w:val="false"/>
          <w:i w:val="false"/>
          <w:sz w:val="20"/>
        </w:rPr>
        <w:t/>
      </w:r>
    </w:p>
    <w:p>
      <w:pPr>
        <w:pStyle w:val="ab"/>
        <w:numPr>
          <w:numId w:val="15"/>
        </w:numPr>
      </w:pPr>
      <w:r>
        <w:t>44:15 中国铝业与国盛矿业金股分析</w:t>
      </w:r>
    </w:p>
    <w:p>
      <w:r>
        <w:rPr>
          <w:rFonts w:ascii="等线(中文正文)" w:hAnsi="等线(中文正文)" w:cs="等线(中文正文)" w:eastAsia="等线(中文正文)"/>
          <w:b w:val="false"/>
          <w:i w:val="false"/>
          <w:sz w:val="20"/>
        </w:rPr>
        <w:t>对话讨论了中国铝业与国盛矿业的业务进展，包括木矿股权收购、锂矿产能扩张及锂盐项目进展，预计业绩增长显著，估值合理，是六月投资重点。</w:t>
      </w:r>
    </w:p>
    <w:p>
      <w:r>
        <w:rPr>
          <w:rFonts w:ascii="等线(中文正文)" w:hAnsi="等线(中文正文)" w:cs="等线(中文正文)" w:eastAsia="等线(中文正文)"/>
          <w:b w:val="false"/>
          <w:i w:val="false"/>
          <w:sz w:val="20"/>
        </w:rPr>
        <w:t/>
      </w:r>
    </w:p>
    <w:p>
      <w:pPr>
        <w:pStyle w:val="ab"/>
        <w:numPr>
          <w:numId w:val="16"/>
        </w:numPr>
      </w:pPr>
      <w:r>
        <w:t>48:07 六月金股会：宏观策略与行业配置分析</w:t>
      </w:r>
    </w:p>
    <w:p>
      <w:r>
        <w:rPr>
          <w:rFonts w:ascii="等线(中文正文)" w:hAnsi="等线(中文正文)" w:cs="等线(中文正文)" w:eastAsia="等线(中文正文)"/>
          <w:b w:val="false"/>
          <w:i w:val="false"/>
          <w:sz w:val="20"/>
        </w:rPr>
        <w:t>六月金股会聚焦宏观策略，预测市场波动将放大，内外因素影响下，国内关注AI专利主线、景气改善及防御行业，海外VX影响或带来轮动性机会。建议关注光模块、光芯片、国产专利、存储、锂电、有色、化工、电力、公用事业及银行板块。</w:t>
      </w:r>
    </w:p>
    <w:p>
      <w:r>
        <w:rPr>
          <w:rFonts w:ascii="等线(中文正文)" w:hAnsi="等线(中文正文)" w:cs="等线(中文正文)" w:eastAsia="等线(中文正文)"/>
          <w:b w:val="false"/>
          <w:i w:val="false"/>
          <w:sz w:val="20"/>
        </w:rPr>
        <w:t/>
      </w:r>
    </w:p>
    <w:p>
      <w:pPr>
        <w:pStyle w:val="a7"/>
      </w:pPr>
      <w:r>
        <w:t>发言总结</w:t>
      </w:r>
    </w:p>
    <w:p>
      <w:pPr>
        <w:pStyle w:val="ab"/>
        <w:numPr>
          <w:numId w:val="17"/>
        </w:numPr>
      </w:pPr>
      <w:r>
        <w:t>发言人1</w:t>
      </w:r>
    </w:p>
    <w:p>
      <w:r>
        <w:rPr>
          <w:rFonts w:ascii="等线(中文正文)" w:hAnsi="等线(中文正文)" w:cs="等线(中文正文)" w:eastAsia="等线(中文正文)"/>
          <w:b w:val="false"/>
          <w:i w:val="false"/>
          <w:sz w:val="20"/>
        </w:rPr>
        <w:t>他对六月的宏观策略、资产配置和行业金股进行了深入分析。在宏观策略方面，他指出六月将出现内外部波动的放大，建议投资者把握轮动机会。在资产配置上，他建议关注硬件成长的波动，强调软件的性价比更高，并提到黄金作为配置机会。特别指出国内方面，强调AI算力的持续高景气度，建议短期维持震荡整固的策略，适当降低成长仓位，增加防御性板块。在金股推荐上，他分享了包括新易盛、新增科技、拓金科技等电子行业，以及国成矿业和中国铝业等在有色、新能源领域的优质股票。整体而言，他的发言涵盖了从宏观策略到具体行业和个股的深度分析，为投资者提供了具体的市场操作和资产配置建议。</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问：六月海外市场的主要判断是什么？</w:t>
      </w:r>
    </w:p>
    <w:p>
      <w:r>
        <w:rPr>
          <w:rFonts w:ascii="等线(中文正文)" w:hAnsi="等线(中文正文)" w:cs="等线(中文正文)" w:eastAsia="等线(中文正文)"/>
          <w:b w:val="false"/>
          <w:i w:val="false"/>
          <w:sz w:val="20"/>
        </w:rPr>
        <w:t>发言人1 答：六月份海外市场将面临流动性双杀和高波动的共振期，主要体现在CBX IPO对美股市场的显性抽水效应以及美联储落实结构性紧缩新规带来的隐性缩表影响。叠加中期选举压力，整体海外波动率和流动性可能偏向放大，策略上建议保守，看好硬件成长板块的波动放大，软件性价比更高，同时黄金在4400支撑位显现后也是值得配置的。</w:t>
      </w:r>
    </w:p>
    <w:p>
      <w:r>
        <w:rPr>
          <w:rFonts w:ascii="等线(中文正文)" w:hAnsi="等线(中文正文)" w:cs="等线(中文正文)" w:eastAsia="等线(中文正文)"/>
          <w:b w:val="false"/>
          <w:i w:val="false"/>
          <w:sz w:val="20"/>
        </w:rPr>
        <w:t/>
      </w:r>
    </w:p>
    <w:p>
      <w:pPr>
        <w:pStyle w:val="ab"/>
      </w:pPr>
      <w:r>
        <w:t>发言人1 问：对于国内A股市场有何看法？</w:t>
      </w:r>
    </w:p>
    <w:p>
      <w:r>
        <w:rPr>
          <w:rFonts w:ascii="等线(中文正文)" w:hAnsi="等线(中文正文)" w:cs="等线(中文正文)" w:eastAsia="等线(中文正文)"/>
          <w:b w:val="false"/>
          <w:i w:val="false"/>
          <w:sz w:val="20"/>
        </w:rPr>
        <w:t>发言人1 答：国内AI算力行业高景气持续得到验证，但两层上市担忧可能会在短期内放大市场波动。预计A股市场将在六月延续震荡整固格局，波动幅度会增大，建议调低成长性投资单位，增加防御性低位板块配置，把握景气风格再平衡的轮动机会。</w:t>
      </w:r>
    </w:p>
    <w:p>
      <w:r>
        <w:rPr>
          <w:rFonts w:ascii="等线(中文正文)" w:hAnsi="等线(中文正文)" w:cs="等线(中文正文)" w:eastAsia="等线(中文正文)"/>
          <w:b w:val="false"/>
          <w:i w:val="false"/>
          <w:sz w:val="20"/>
        </w:rPr>
        <w:t/>
      </w:r>
    </w:p>
    <w:p>
      <w:pPr>
        <w:pStyle w:val="ab"/>
      </w:pPr>
      <w:r>
        <w:t>发言人1 问：海外流动性双杀的具体表现有哪些？</w:t>
      </w:r>
    </w:p>
    <w:p>
      <w:r>
        <w:rPr>
          <w:rFonts w:ascii="等线(中文正文)" w:hAnsi="等线(中文正文)" w:cs="等线(中文正文)" w:eastAsia="等线(中文正文)"/>
          <w:b w:val="false"/>
          <w:i w:val="false"/>
          <w:sz w:val="20"/>
        </w:rPr>
        <w:t>发言人1 答：海外流动性双杀具体表现为显性抽水（如CVS上市）和隐性抽水（联储主席鲍伦斯基的QTE操作导致银行准备金刚性需求下降）。此外，联储内部出现分歧，可能导致指引失效，且核心通胀尚未见底，这将加剧货币政策环境的复杂性，可能导致市场利率波动放大。</w:t>
      </w:r>
    </w:p>
    <w:p>
      <w:r>
        <w:rPr>
          <w:rFonts w:ascii="等线(中文正文)" w:hAnsi="等线(中文正文)" w:cs="等线(中文正文)" w:eastAsia="等线(中文正文)"/>
          <w:b w:val="false"/>
          <w:i w:val="false"/>
          <w:sz w:val="20"/>
        </w:rPr>
        <w:t/>
      </w:r>
    </w:p>
    <w:p>
      <w:pPr>
        <w:pStyle w:val="ab"/>
      </w:pPr>
      <w:r>
        <w:t>发言人1 问：六月份的政治风险如何？</w:t>
      </w:r>
    </w:p>
    <w:p>
      <w:r>
        <w:rPr>
          <w:rFonts w:ascii="等线(中文正文)" w:hAnsi="等线(中文正文)" w:cs="等线(中文正文)" w:eastAsia="等线(中文正文)"/>
          <w:b w:val="false"/>
          <w:i w:val="false"/>
          <w:sz w:val="20"/>
        </w:rPr>
        <w:t>发言人1 答：六月份政治风险放大，主要体现在中美关系进入集中选举期，议题可能转硬，叠加特朗普支持度减少带来的奇招风险增加。另外，伊朗谈判进展复杂，油价维持宽幅震荡。整体上，海外资产配置倾向于防御性布局，美股采取偏杠铃策略，减仓硬件，加仓软件和黄金等避险资产。</w:t>
      </w:r>
    </w:p>
    <w:p>
      <w:r>
        <w:rPr>
          <w:rFonts w:ascii="等线(中文正文)" w:hAnsi="等线(中文正文)" w:cs="等线(中文正文)" w:eastAsia="等线(中文正文)"/>
          <w:b w:val="false"/>
          <w:i w:val="false"/>
          <w:sz w:val="20"/>
        </w:rPr>
        <w:t/>
      </w:r>
    </w:p>
    <w:p>
      <w:pPr>
        <w:pStyle w:val="ab"/>
      </w:pPr>
      <w:r>
        <w:t>发言人1 问：对于美债和黄金的投资策略是什么？</w:t>
      </w:r>
    </w:p>
    <w:p>
      <w:r>
        <w:rPr>
          <w:rFonts w:ascii="等线(中文正文)" w:hAnsi="等线(中文正文)" w:cs="等线(中文正文)" w:eastAsia="等线(中文正文)"/>
          <w:b w:val="false"/>
          <w:i w:val="false"/>
          <w:sz w:val="20"/>
        </w:rPr>
        <w:t>发言人1 答：短期建议持续持有美债获取利息收益，长端美债等待配置机会，尤其是当美国滞胀格局加深时，有机会触及利率高位，推荐在4.6以上的美债进行多头操作。黄金方面，在经历行情波动后，4400支撑位得到验证，且年内仍有需求兑现的压力，中长期逻辑未被破坏，维持逢低配置黄金。</w:t>
      </w:r>
    </w:p>
    <w:p>
      <w:r>
        <w:rPr>
          <w:rFonts w:ascii="等线(中文正文)" w:hAnsi="等线(中文正文)" w:cs="等线(中文正文)" w:eastAsia="等线(中文正文)"/>
          <w:b w:val="false"/>
          <w:i w:val="false"/>
          <w:sz w:val="20"/>
        </w:rPr>
        <w:t/>
      </w:r>
    </w:p>
    <w:p>
      <w:pPr>
        <w:pStyle w:val="ab"/>
      </w:pPr>
      <w:r>
        <w:t>发言人1 问：国内宏观情况如何，特别是AI硬件产业链？</w:t>
      </w:r>
    </w:p>
    <w:p>
      <w:r>
        <w:rPr>
          <w:rFonts w:ascii="等线(中文正文)" w:hAnsi="等线(中文正文)" w:cs="等线(中文正文)" w:eastAsia="等线(中文正文)"/>
          <w:b w:val="false"/>
          <w:i w:val="false"/>
          <w:sz w:val="20"/>
        </w:rPr>
        <w:t>发言人1 答：国内宏观经济数据呈现外强内弱特征，出口维持强势，而其他数据普遍偏弱。不过，预计回落趋势不会延续，五月份数据将偏回暖。AI硬件产业链的高景气度持续上升，相关出口金额增速喜人，上游有色和煤炭板块利润也出现加速修复，显示出明显的结构性亮点。</w:t>
      </w:r>
    </w:p>
    <w:p>
      <w:r>
        <w:rPr>
          <w:rFonts w:ascii="等线(中文正文)" w:hAnsi="等线(中文正文)" w:cs="等线(中文正文)" w:eastAsia="等线(中文正文)"/>
          <w:b w:val="false"/>
          <w:i w:val="false"/>
          <w:sz w:val="20"/>
        </w:rPr>
        <w:t/>
      </w:r>
    </w:p>
    <w:p>
      <w:pPr>
        <w:pStyle w:val="ab"/>
      </w:pPr>
      <w:r>
        <w:t>发言人1 问：A股市场在两层上市情况下，牛市根基是否稳固，以及大型IPO对牛市的影响是怎样的？</w:t>
      </w:r>
    </w:p>
    <w:p>
      <w:r>
        <w:rPr>
          <w:rFonts w:ascii="等线(中文正文)" w:hAnsi="等线(中文正文)" w:cs="等线(中文正文)" w:eastAsia="等线(中文正文)"/>
          <w:b w:val="false"/>
          <w:i w:val="false"/>
          <w:sz w:val="20"/>
        </w:rPr>
        <w:t>发言人1 答：A股市场的牛市根基相对稳固，短期内板块可能受到虹吸效应的影响，但从权益角度看，大型IPO并非终结牛市的直接诱因。资金的虹吸效应在一定程度上会影响大盘，但在T+20期间通常会出现快速反弹，胜率和收益较高。对于行业指数而言，大型IPO对板块内部的虹吸效应更大，而相较于权益指数，上市标的对应的申万一级行业的影响可能更大，但上市后板块反弹的概率依然存在。</w:t>
      </w:r>
    </w:p>
    <w:p>
      <w:r>
        <w:rPr>
          <w:rFonts w:ascii="等线(中文正文)" w:hAnsi="等线(中文正文)" w:cs="等线(中文正文)" w:eastAsia="等线(中文正文)"/>
          <w:b w:val="false"/>
          <w:i w:val="false"/>
          <w:sz w:val="20"/>
        </w:rPr>
        <w:t/>
      </w:r>
    </w:p>
    <w:p>
      <w:pPr>
        <w:pStyle w:val="ab"/>
      </w:pPr>
      <w:r>
        <w:t>发言人1 问：当前A股策略应如何调整？</w:t>
      </w:r>
    </w:p>
    <w:p>
      <w:r>
        <w:rPr>
          <w:rFonts w:ascii="等线(中文正文)" w:hAnsi="等线(中文正文)" w:cs="等线(中文正文)" w:eastAsia="等线(中文正文)"/>
          <w:b w:val="false"/>
          <w:i w:val="false"/>
          <w:sz w:val="20"/>
        </w:rPr>
        <w:t>发言人1 答：在当前情况下，A股策略可能会延续震荡整固的格局，波动有所放大。建议把握高景气度和风格再平衡的机会，适当调仓，降低成长仓位，增加防御属性板块如电力、公用事业和银行等的配置。</w:t>
      </w:r>
    </w:p>
    <w:p>
      <w:r>
        <w:rPr>
          <w:rFonts w:ascii="等线(中文正文)" w:hAnsi="等线(中文正文)" w:cs="等线(中文正文)" w:eastAsia="等线(中文正文)"/>
          <w:b w:val="false"/>
          <w:i w:val="false"/>
          <w:sz w:val="20"/>
        </w:rPr>
        <w:t/>
      </w:r>
    </w:p>
    <w:p>
      <w:pPr>
        <w:pStyle w:val="ab"/>
      </w:pPr>
      <w:r>
        <w:t>发言人1 问：行业选择的主要方向有哪些？</w:t>
      </w:r>
    </w:p>
    <w:p>
      <w:r>
        <w:rPr>
          <w:rFonts w:ascii="等线(中文正文)" w:hAnsi="等线(中文正文)" w:cs="等线(中文正文)" w:eastAsia="等线(中文正文)"/>
          <w:b w:val="false"/>
          <w:i w:val="false"/>
          <w:sz w:val="20"/>
        </w:rPr>
        <w:t>发言人1 答：行业选择主要分为三个方向：一是持续关注AI算力主线，包括光模块、光芯片、国产存储等高科技领域；二是布局景气改善行业，如锂电、有色和化工等；三是采取低位防御策略，在震荡放大的市场环境下，增配相对低位的防御性板块。</w:t>
      </w:r>
    </w:p>
    <w:p>
      <w:r>
        <w:rPr>
          <w:rFonts w:ascii="等线(中文正文)" w:hAnsi="等线(中文正文)" w:cs="等线(中文正文)" w:eastAsia="等线(中文正文)"/>
          <w:b w:val="false"/>
          <w:i w:val="false"/>
          <w:sz w:val="20"/>
        </w:rPr>
        <w:t/>
      </w:r>
    </w:p>
    <w:p>
      <w:pPr>
        <w:pStyle w:val="ab"/>
      </w:pPr>
      <w:r>
        <w:t>发言人1 问：五月份股市的主要驱动因素是什么？</w:t>
      </w:r>
    </w:p>
    <w:p>
      <w:r>
        <w:rPr>
          <w:rFonts w:ascii="等线(中文正文)" w:hAnsi="等线(中文正文)" w:cs="等线(中文正文)" w:eastAsia="等线(中文正文)"/>
          <w:b w:val="false"/>
          <w:i w:val="false"/>
          <w:sz w:val="20"/>
        </w:rPr>
        <w:t>发言人1 答：五月份股市主要由宏观流动性驱动，风险偏好在较短的时间内有所变化。整体来看，市场在大多数时间里受到宏观流动性的影响，而风险偏好仅在五一后的一周内上升，随后便回归到宏观流动性驱动的逻辑。</w:t>
      </w:r>
    </w:p>
    <w:p>
      <w:r>
        <w:rPr>
          <w:rFonts w:ascii="等线(中文正文)" w:hAnsi="等线(中文正文)" w:cs="等线(中文正文)" w:eastAsia="等线(中文正文)"/>
          <w:b w:val="false"/>
          <w:i w:val="false"/>
          <w:sz w:val="20"/>
        </w:rPr>
        <w:t/>
      </w:r>
    </w:p>
    <w:p>
      <w:pPr>
        <w:pStyle w:val="ab"/>
      </w:pPr>
      <w:r>
        <w:t>发言人1 问：对于六月份的市场展望如何？</w:t>
      </w:r>
    </w:p>
    <w:p>
      <w:r>
        <w:rPr>
          <w:rFonts w:ascii="等线(中文正文)" w:hAnsi="等线(中文正文)" w:cs="等线(中文正文)" w:eastAsia="等线(中文正文)"/>
          <w:b w:val="false"/>
          <w:i w:val="false"/>
          <w:sz w:val="20"/>
        </w:rPr>
        <w:t>发言人1 答：预计六月份可能是宏观流动性边际收敛的过程，且收敛幅度可能比五月份更为明显。因此，建议投资者谨慎对待，降低仓位，更多关注估值较低的价值类资产，同时债券市场的参与价值也并不大。</w:t>
      </w:r>
    </w:p>
    <w:p>
      <w:r>
        <w:rPr>
          <w:rFonts w:ascii="等线(中文正文)" w:hAnsi="等线(中文正文)" w:cs="等线(中文正文)" w:eastAsia="等线(中文正文)"/>
          <w:b w:val="false"/>
          <w:i w:val="false"/>
          <w:sz w:val="20"/>
        </w:rPr>
        <w:t/>
      </w:r>
    </w:p>
    <w:p>
      <w:pPr>
        <w:pStyle w:val="ab"/>
      </w:pPr>
      <w:r>
        <w:t>发言人1 问：对于国债收益率及六月份投资建议有何看法？</w:t>
      </w:r>
    </w:p>
    <w:p>
      <w:r>
        <w:rPr>
          <w:rFonts w:ascii="等线(中文正文)" w:hAnsi="等线(中文正文)" w:cs="等线(中文正文)" w:eastAsia="等线(中文正文)"/>
          <w:b w:val="false"/>
          <w:i w:val="false"/>
          <w:sz w:val="20"/>
        </w:rPr>
        <w:t>发言人1 答：目前一年期国债收益率在1.2%以下，接近于已透支一次降息的空间。对于六月份，建议股票和债券都不宜配置过高，留出流动性较强的资产，等待可能在七月份出现的宏观流动性的扩张机会。</w:t>
      </w:r>
    </w:p>
    <w:p>
      <w:r>
        <w:rPr>
          <w:rFonts w:ascii="等线(中文正文)" w:hAnsi="等线(中文正文)" w:cs="等线(中文正文)" w:eastAsia="等线(中文正文)"/>
          <w:b w:val="false"/>
          <w:i w:val="false"/>
          <w:sz w:val="20"/>
        </w:rPr>
        <w:t/>
      </w:r>
    </w:p>
    <w:p>
      <w:pPr>
        <w:pStyle w:val="ab"/>
      </w:pPr>
      <w:r>
        <w:t>发言人1 问：电子组老师对本月推荐的金股有哪些？新易盛作为首推的金股，推荐的理由是什么？</w:t>
      </w:r>
    </w:p>
    <w:p>
      <w:r>
        <w:rPr>
          <w:rFonts w:ascii="等线(中文正文)" w:hAnsi="等线(中文正文)" w:cs="等线(中文正文)" w:eastAsia="等线(中文正文)"/>
          <w:b w:val="false"/>
          <w:i w:val="false"/>
          <w:sz w:val="20"/>
        </w:rPr>
        <w:t>发言人1 答：本月我们推荐了电子组的金股，分别是新易盛、新增科技和拓金科技。新易盛被推荐主要是因为海外算力和光模块需求持续增长，市场预期不断上修，尤其是对于明年全球1.6T光模块需求预期已从7000万颗提升至接近9000万颗。尽管一季度受到物料紧缺影响，但随着二季度物料紧缺缓解，龙头企业的业绩环比改善确定性较高，且该公司积极备货，因此看好其光模块业绩增长的确定性。</w:t>
      </w:r>
    </w:p>
    <w:p>
      <w:r>
        <w:rPr>
          <w:rFonts w:ascii="等线(中文正文)" w:hAnsi="等线(中文正文)" w:cs="等线(中文正文)" w:eastAsia="等线(中文正文)"/>
          <w:b w:val="false"/>
          <w:i w:val="false"/>
          <w:sz w:val="20"/>
        </w:rPr>
        <w:t/>
      </w:r>
    </w:p>
    <w:p>
      <w:pPr>
        <w:pStyle w:val="ab"/>
      </w:pPr>
      <w:r>
        <w:t>发言人1 问：为什么新增科技会被推荐为金股？拓金科技为何也被视为金股标的？</w:t>
      </w:r>
    </w:p>
    <w:p>
      <w:r>
        <w:rPr>
          <w:rFonts w:ascii="等线(中文正文)" w:hAnsi="等线(中文正文)" w:cs="等线(中文正文)" w:eastAsia="等线(中文正文)"/>
          <w:b w:val="false"/>
          <w:i w:val="false"/>
          <w:sz w:val="20"/>
        </w:rPr>
        <w:t>发言人1 答：新增科技的逻辑主要来自于800G和1.6T高速光模块内部小型PCB开头卡的供应紧张情况，该部件连接外部电缆和内部光电器件，目前交付周期已从六个星期延长到六个月，预计到2027年才能有所缓解。由于小型PCB需采用M sup工艺制造，而具备高阶HDI或IC载板能力的厂商供应紧张，新增科技因其高阶HDI和IC载板能力以及扩产进度超预期，有望受益于M sup环节的通胀和扩产需求，弹性较大。拓金科技主要受益于国产算力及存储领域的发展。国产CSP厂商的carpets爆发式增长叠加华为超定律下的国产算力制造行情，导致国产算力各个核心环节如先进制程芯片、先进封装、HBN等需要大规模放量。拓金科技已形成PECVD、ALD等薄膜沉积设备产品矩阵，并有晶圆对晶圆混合键合等三维集成设备产品，有望在国产算力行情中受益，特别是在薄膜沉积和三维集成领域具有布局优势。</w:t>
      </w:r>
    </w:p>
    <w:p>
      <w:r>
        <w:rPr>
          <w:rFonts w:ascii="等线(中文正文)" w:hAnsi="等线(中文正文)" w:cs="等线(中文正文)" w:eastAsia="等线(中文正文)"/>
          <w:b w:val="false"/>
          <w:i w:val="false"/>
          <w:sz w:val="20"/>
        </w:rPr>
        <w:t/>
      </w:r>
    </w:p>
    <w:p>
      <w:pPr>
        <w:pStyle w:val="ab"/>
      </w:pPr>
      <w:r>
        <w:t>发言人1 问：除了可插拔光模块外，还有哪些新型光互联产品值得关注？</w:t>
      </w:r>
    </w:p>
    <w:p>
      <w:r>
        <w:rPr>
          <w:rFonts w:ascii="等线(中文正文)" w:hAnsi="等线(中文正文)" w:cs="等线(中文正文)" w:eastAsia="等线(中文正文)"/>
          <w:b w:val="false"/>
          <w:i w:val="false"/>
          <w:sz w:val="20"/>
        </w:rPr>
        <w:t>发言人1 答：新型光互联产品还包括超高密度叉PU、进封装NPU以及共封装CPU等形态的产品，它们适应不同应用场景的需求，并将在未来进入百花齐放、共存的状态。我们看到医生已在业界首发6.4T NPU和12.8T叉PU等创新光互联产品方案，预计这些新型产品将带来弹性增长。</w:t>
      </w:r>
    </w:p>
    <w:p>
      <w:r>
        <w:rPr>
          <w:rFonts w:ascii="等线(中文正文)" w:hAnsi="等线(中文正文)" w:cs="等线(中文正文)" w:eastAsia="等线(中文正文)"/>
          <w:b w:val="false"/>
          <w:i w:val="false"/>
          <w:sz w:val="20"/>
        </w:rPr>
        <w:t/>
      </w:r>
    </w:p>
    <w:p>
      <w:pPr>
        <w:pStyle w:val="ab"/>
      </w:pPr>
      <w:r>
        <w:t>发言人1 问：为什么选择魔术科技作为六月份的推荐公司？</w:t>
      </w:r>
    </w:p>
    <w:p>
      <w:r>
        <w:rPr>
          <w:rFonts w:ascii="等线(中文正文)" w:hAnsi="等线(中文正文)" w:cs="等线(中文正文)" w:eastAsia="等线(中文正文)"/>
          <w:b w:val="false"/>
          <w:i w:val="false"/>
          <w:sz w:val="20"/>
        </w:rPr>
        <w:t>发言人1 答：魔术科技是国内少数能够快速拿到大量订单的机器人零部件公司，尤其在语速项目中拥有充足且远期订单量级大，主业已经能够支撑约120亿市值，而目前市值约为135亿，存在翻倍上升的空间。因此，在六月份国内外共振的情况下，魔术科技可能成为能够跑出超额阿尔法的双核心机器人零部件公司。</w:t>
      </w:r>
    </w:p>
    <w:p>
      <w:r>
        <w:rPr>
          <w:rFonts w:ascii="等线(中文正文)" w:hAnsi="等线(中文正文)" w:cs="等线(中文正文)" w:eastAsia="等线(中文正文)"/>
          <w:b w:val="false"/>
          <w:i w:val="false"/>
          <w:sz w:val="20"/>
        </w:rPr>
        <w:t/>
      </w:r>
    </w:p>
    <w:p>
      <w:pPr>
        <w:pStyle w:val="ab"/>
      </w:pPr>
      <w:r>
        <w:t>发言人1 问：六月份机器人板块有哪些主要催化节点？</w:t>
      </w:r>
    </w:p>
    <w:p>
      <w:r>
        <w:rPr>
          <w:rFonts w:ascii="等线(中文正文)" w:hAnsi="等线(中文正文)" w:cs="等线(中文正文)" w:eastAsia="等线(中文正文)"/>
          <w:b w:val="false"/>
          <w:i w:val="false"/>
          <w:sz w:val="20"/>
        </w:rPr>
        <w:t>发言人1 答：六月份的机器人板块有两大主要催化因素。首先，海外方面，特斯拉的量产爬坡会比五月份更快，特别是7到8月份会有显著的量产表现。其次，国内催化因素在于语速（公司名）的上会预计会在六月份通过，并且其上市后市值有望达到1500亿至2000亿区间。</w:t>
      </w:r>
    </w:p>
    <w:p>
      <w:r>
        <w:rPr>
          <w:rFonts w:ascii="等线(中文正文)" w:hAnsi="等线(中文正文)" w:cs="等线(中文正文)" w:eastAsia="等线(中文正文)"/>
          <w:b w:val="false"/>
          <w:i w:val="false"/>
          <w:sz w:val="20"/>
        </w:rPr>
        <w:t/>
      </w:r>
    </w:p>
    <w:p>
      <w:pPr>
        <w:pStyle w:val="ab"/>
      </w:pPr>
      <w:r>
        <w:t>发言人1 问：新能源组六月份的金股是哪一家公司？</w:t>
      </w:r>
    </w:p>
    <w:p>
      <w:r>
        <w:rPr>
          <w:rFonts w:ascii="等线(中文正文)" w:hAnsi="等线(中文正文)" w:cs="等线(中文正文)" w:eastAsia="等线(中文正文)"/>
          <w:b w:val="false"/>
          <w:i w:val="false"/>
          <w:sz w:val="20"/>
        </w:rPr>
        <w:t>发言人1 答：新能源组六月份的金股选的是宁德时代。选择宁德时代的主要理由是其在锂电行业具有无可撼动的行业地位，无论在国内还是海外都处于领先地位，且在成本、盈利能力等方面表现出色。同时，考虑到行业整体增长态势良好，量价提升对业绩形成有力支撑，以及AI技术对产业链的拉动，宁德时代目前的估值仍具有性价比。</w:t>
      </w:r>
    </w:p>
    <w:p>
      <w:r>
        <w:rPr>
          <w:rFonts w:ascii="等线(中文正文)" w:hAnsi="等线(中文正文)" w:cs="等线(中文正文)" w:eastAsia="等线(中文正文)"/>
          <w:b w:val="false"/>
          <w:i w:val="false"/>
          <w:sz w:val="20"/>
        </w:rPr>
        <w:t/>
      </w:r>
    </w:p>
    <w:p>
      <w:pPr>
        <w:pStyle w:val="ab"/>
      </w:pPr>
      <w:r>
        <w:t>发言人1 问：在创新药方面，你们的对外授权项目有哪些进展和预期？</w:t>
      </w:r>
    </w:p>
    <w:p>
      <w:r>
        <w:rPr>
          <w:rFonts w:ascii="等线(中文正文)" w:hAnsi="等线(中文正文)" w:cs="等线(中文正文)" w:eastAsia="等线(中文正文)"/>
          <w:b w:val="false"/>
          <w:i w:val="false"/>
          <w:sz w:val="20"/>
        </w:rPr>
        <w:t>发言人1 答：我们近期看到的一些早期项目正顺利对外授权，随着这些项目的增加，整个创新药的估值将逐步累积并回归到一个合理的水平。目前，我们在选择个股创业方向上重点推荐的是口服领域，特别是针对醋和一些具有潜力的靶点。海外对于这些方向的需求尚未被充分满足，尤其是小分子药物的对外授权潜力很大。</w:t>
      </w:r>
    </w:p>
    <w:p>
      <w:r>
        <w:rPr>
          <w:rFonts w:ascii="等线(中文正文)" w:hAnsi="等线(中文正文)" w:cs="等线(中文正文)" w:eastAsia="等线(中文正文)"/>
          <w:b w:val="false"/>
          <w:i w:val="false"/>
          <w:sz w:val="20"/>
        </w:rPr>
        <w:t/>
      </w:r>
    </w:p>
    <w:p>
      <w:pPr>
        <w:pStyle w:val="ab"/>
      </w:pPr>
      <w:r>
        <w:t>发言人1 问：能否具体谈谈推荐的地方生物公司在创新药物上的优势？</w:t>
      </w:r>
    </w:p>
    <w:p>
      <w:r>
        <w:rPr>
          <w:rFonts w:ascii="等线(中文正文)" w:hAnsi="等线(中文正文)" w:cs="等线(中文正文)" w:eastAsia="等线(中文正文)"/>
          <w:b w:val="false"/>
          <w:i w:val="false"/>
          <w:sz w:val="20"/>
        </w:rPr>
        <w:t>发言人1 答：地方生物公司在D2靶点的研发上处于领先地位，前三期的物业研究未显示出其他安全问题或严重不良反应，这表明该品种具备成为best in class的潜力。此外，公司的小分子研发效率很高，已有两款上市的抗肺癌小分子药物，包括EFR的三代产品和KRS靶点药物。目前，公司还有一款针对雌激素阳性的降解剂推进海外临床阶段，并与ADC联用，预计未来有成为大品种的潜力。</w:t>
      </w:r>
    </w:p>
    <w:p>
      <w:r>
        <w:rPr>
          <w:rFonts w:ascii="等线(中文正文)" w:hAnsi="等线(中文正文)" w:cs="等线(中文正文)" w:eastAsia="等线(中文正文)"/>
          <w:b w:val="false"/>
          <w:i w:val="false"/>
          <w:sz w:val="20"/>
        </w:rPr>
        <w:t/>
      </w:r>
    </w:p>
    <w:p>
      <w:pPr>
        <w:pStyle w:val="ab"/>
      </w:pPr>
      <w:r>
        <w:t>发言人1 问：对于有食品公司的现状及未来展望有何看法？</w:t>
      </w:r>
    </w:p>
    <w:p>
      <w:r>
        <w:rPr>
          <w:rFonts w:ascii="等线(中文正文)" w:hAnsi="等线(中文正文)" w:cs="等线(中文正文)" w:eastAsia="等线(中文正文)"/>
          <w:b w:val="false"/>
          <w:i w:val="false"/>
          <w:sz w:val="20"/>
        </w:rPr>
        <w:t>发言人1 答：有食品公司在山姆渠道新品打样和打磨方面取得进展，预计商务渠道会有放量表现，去年销售额约为4到5亿，这是一个较好的发展方向。另外，从全年成本角度看，预期保持平稳状态，与市场预期一致。同时，有食品公司在过去几年表现出稳健性，预计全年收入增长20%以上，利润增长可能更快。随着进入临时廉访渠道和会员制服务，市场预期已全面打开，公司市值突破50亿，显示出良好的成长性和投资价值。</w:t>
      </w:r>
    </w:p>
    <w:p>
      <w:r>
        <w:rPr>
          <w:rFonts w:ascii="等线(中文正文)" w:hAnsi="等线(中文正文)" w:cs="等线(中文正文)" w:eastAsia="等线(中文正文)"/>
          <w:b w:val="false"/>
          <w:i w:val="false"/>
          <w:sz w:val="20"/>
        </w:rPr>
        <w:t/>
      </w:r>
    </w:p>
    <w:p>
      <w:pPr>
        <w:pStyle w:val="ab"/>
      </w:pPr>
      <w:r>
        <w:t>发言人1 问：为什么选择中国铝业作为金股？</w:t>
      </w:r>
    </w:p>
    <w:p>
      <w:r>
        <w:rPr>
          <w:rFonts w:ascii="等线(中文正文)" w:hAnsi="等线(中文正文)" w:cs="等线(中文正文)" w:eastAsia="等线(中文正文)"/>
          <w:b w:val="false"/>
          <w:i w:val="false"/>
          <w:sz w:val="20"/>
        </w:rPr>
        <w:t>发言人1 答：选择中国铝业的主要理由是其电解铝板块目前市盈率较低，且业绩有一定的弹性。公司今年成功收购了阿西里的股权，增加了海外增量。此外，中国铝业产量数据均保持同比增长，如氧化铝产量1700多万吨，电解铝材料808万吨，煤炭1300多万吨，发电量5500多亿千瓦时，且售电量达172亿千瓦时。值得注意的是，2025年公司的分红比例达到了36%，股息率平均超过2.2%。电解铝价格和公司的高股息率是值得关注的重点。同时，国内电解铝产能天花板已基本形成，大部分企业没有大规模产能建设规划，资本开支较小，有提升分红意愿。另外，公司还通过联合力拓收购巴西里约股权，进一步增强了氧化铝和电解铝产能，同时几内亚的铝土矿扩建计划也提高了铝土矿的供应量，凸显出铝土矿价值重估的潜力。</w:t>
      </w:r>
    </w:p>
    <w:p>
      <w:r>
        <w:rPr>
          <w:rFonts w:ascii="等线(中文正文)" w:hAnsi="等线(中文正文)" w:cs="等线(中文正文)" w:eastAsia="等线(中文正文)"/>
          <w:b w:val="false"/>
          <w:i w:val="false"/>
          <w:sz w:val="20"/>
        </w:rPr>
        <w:t/>
      </w:r>
    </w:p>
    <w:p>
      <w:pPr>
        <w:pStyle w:val="ab"/>
      </w:pPr>
      <w:r>
        <w:t>发言人1 问：公司木金属业务去年的产量和销量是多少？最近木金属的价格变化如何？</w:t>
      </w:r>
    </w:p>
    <w:p>
      <w:r>
        <w:rPr>
          <w:rFonts w:ascii="等线(中文正文)" w:hAnsi="等线(中文正文)" w:cs="等线(中文正文)" w:eastAsia="等线(中文正文)"/>
          <w:b w:val="false"/>
          <w:i w:val="false"/>
          <w:sz w:val="20"/>
        </w:rPr>
        <w:t>发言人1 答：去年公司木金属的产量和销量大约是七千多金属吨。木金属的价格最近在上涨，去年的均价大约在三十多万到40万左右，现在已涨至50万以上。</w:t>
      </w:r>
    </w:p>
    <w:p>
      <w:r>
        <w:rPr>
          <w:rFonts w:ascii="等线(中文正文)" w:hAnsi="等线(中文正文)" w:cs="等线(中文正文)" w:eastAsia="等线(中文正文)"/>
          <w:b w:val="false"/>
          <w:i w:val="false"/>
          <w:sz w:val="20"/>
        </w:rPr>
        <w:t/>
      </w:r>
    </w:p>
    <w:p>
      <w:pPr>
        <w:pStyle w:val="ab"/>
      </w:pPr>
      <w:r>
        <w:t>发言人1 问：公司近期在木矿业务方面有哪些重大公告或进展？</w:t>
      </w:r>
    </w:p>
    <w:p>
      <w:r>
        <w:rPr>
          <w:rFonts w:ascii="等线(中文正文)" w:hAnsi="等线(中文正文)" w:cs="等线(中文正文)" w:eastAsia="等线(中文正文)"/>
          <w:b w:val="false"/>
          <w:i w:val="false"/>
          <w:sz w:val="20"/>
        </w:rPr>
        <w:t>发言人1 答：公司在5月22号公告将以23.68亿元购买国盛实业40%的股权，从而实现对内蒙古某木框（大数金钴矿）的100%持有。该木矿目前盈利水平较高，单个利润可能达到1亿到2亿元，且原有权益量为4000吨到5000吨，收购后可能增加至7000吨到8000吨。</w:t>
      </w:r>
    </w:p>
    <w:p>
      <w:r>
        <w:rPr>
          <w:rFonts w:ascii="等线(中文正文)" w:hAnsi="等线(中文正文)" w:cs="等线(中文正文)" w:eastAsia="等线(中文正文)"/>
          <w:b w:val="false"/>
          <w:i w:val="false"/>
          <w:sz w:val="20"/>
        </w:rPr>
        <w:t/>
      </w:r>
    </w:p>
    <w:p>
      <w:pPr>
        <w:pStyle w:val="ab"/>
      </w:pPr>
      <w:r>
        <w:t>发言人1 问：公司在锂矿和锂盐业务方面的情况如何？</w:t>
      </w:r>
    </w:p>
    <w:p>
      <w:r>
        <w:rPr>
          <w:rFonts w:ascii="等线(中文正文)" w:hAnsi="等线(中文正文)" w:cs="等线(中文正文)" w:eastAsia="等线(中文正文)"/>
          <w:b w:val="false"/>
          <w:i w:val="false"/>
          <w:sz w:val="20"/>
        </w:rPr>
        <w:t>发言人1 答：公司拥有四川省阿坝州马尔康市金星矿业的党坝锂辉石矿采矿权，氧化锂储量约为一百多万吨，可转化为接近300万吨的碳酸锂当量。目前，公司运行的采矿产能为100万吨，选矿产能大于采矿产能，并计划扩大至500万吨采矿许可，预计今年落地后，未来锂矿产能将是现在的五倍。此外，公司还有一期6万吨的国产锂业项目投产。</w:t>
      </w:r>
    </w:p>
    <w:p>
      <w:r>
        <w:rPr>
          <w:rFonts w:ascii="等线(中文正文)" w:hAnsi="等线(中文正文)" w:cs="等线(中文正文)" w:eastAsia="等线(中文正文)"/>
          <w:b w:val="false"/>
          <w:i w:val="false"/>
          <w:sz w:val="20"/>
        </w:rPr>
        <w:t/>
      </w:r>
    </w:p>
    <w:p>
      <w:pPr>
        <w:pStyle w:val="ab"/>
      </w:pPr>
      <w:r>
        <w:t>发言人1 问：对于公司未来的锂矿产量预期是什么？</w:t>
      </w:r>
    </w:p>
    <w:p>
      <w:r>
        <w:rPr>
          <w:rFonts w:ascii="等线(中文正文)" w:hAnsi="等线(中文正文)" w:cs="等线(中文正文)" w:eastAsia="等线(中文正文)"/>
          <w:b w:val="false"/>
          <w:i w:val="false"/>
          <w:sz w:val="20"/>
        </w:rPr>
        <w:t>发言人1 答：根据目前的采矿产能、品位及回收率计算，公司一年的碳酸锂当量产量约为两万多吨。若未来产能扩大五倍，则碳酸锂当量的年产量将超过10万吨。</w:t>
      </w:r>
    </w:p>
    <w:p>
      <w:r>
        <w:rPr>
          <w:rFonts w:ascii="等线(中文正文)" w:hAnsi="等线(中文正文)" w:cs="等线(中文正文)" w:eastAsia="等线(中文正文)"/>
          <w:b w:val="false"/>
          <w:i w:val="false"/>
          <w:sz w:val="20"/>
        </w:rPr>
        <w:t/>
      </w:r>
    </w:p>
    <w:p>
      <w:pPr>
        <w:pStyle w:val="ab"/>
      </w:pPr>
      <w:r>
        <w:t>发言人1 问：对于中国铝业和国盛矿业金股的总结观点是什么？</w:t>
      </w:r>
    </w:p>
    <w:p>
      <w:r>
        <w:rPr>
          <w:rFonts w:ascii="等线(中文正文)" w:hAnsi="等线(中文正文)" w:cs="等线(中文正文)" w:eastAsia="等线(中文正文)"/>
          <w:b w:val="false"/>
          <w:i w:val="false"/>
          <w:sz w:val="20"/>
        </w:rPr>
        <w:t>发言人1 答：预计今年公司业绩良好，有二十多亿利润，选择国盛矿业作为六月份的投资标的之一。对于整个宏观策略，六月份可能出现整体波动放大，国内外均有重要事件可能带来轮动性机会。从配置角度看，重点关注AI专利主线、光模块、光芯片、国产专利和存储，景气改善方向为锂电、有色和化工，防御性板块则包括电力、公用事业和银行。</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2026-05-31T15:10:13Z</dcterms:created>
  <dc:creator>Apache POI</dc:creator>
</cp:coreProperties>
</file>