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开源证券 _ 消费最强音--大消费6月联合电话会议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家电行业 美的 TGL电子 成长股 石头科技 九号公司 涛涛车业 绿联安克创新 生猪养殖 牧原股份 温氏股份 德康农牧 新希望 种植链 玉米 隆平高科 大北农 厄尔尼诺 海外消费 小米max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汇聚了开源证券多位行业首席分析师的投资观点，覆盖了家电、农林牧渔、海外消费、轻工纺服、生物医药、传媒互联网及商贸零售等多个领域。在家电行业，推荐稳健投资标的如美的和TGL电子，并看好成长股石头科技和九号公司，强调龙头公司业绩稳定与高分红。农林牧渔行业聚焦于生猪养殖政策调控与市场需求，种植链复苏及转基因技术。海外消费领域探讨了小米、Airbnb等公司的表现，以及牙科、香港地产等动态。轻工纺服行业强调内需、出口与出海制造机遇，生物医药行业关注创新药和产业链发展。传媒互联网与商贸零售领域则聚焦AI应用、高端消费品牌及电商复苏等热点。此次对话提供了跨行业、深入的市场分析，为投资者带来了丰富的投资洞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家电行业投资观点分享：稳健龙头与弹性成长股</w:t>
      </w:r>
    </w:p>
    <w:p>
      <w:r>
        <w:rPr>
          <w:rFonts w:ascii="等线(中文正文)" w:hAnsi="等线(中文正文)" w:cs="等线(中文正文)" w:eastAsia="等线(中文正文)"/>
          <w:b w:val="false"/>
          <w:i w:val="false"/>
          <w:sz w:val="20"/>
        </w:rPr>
        <w:t>分享了家电行业投资策略，推荐稳健型龙头如美的和TGL电子，以及弹性成长股如石头科技、九号公司等。美的外销增长显著，TGL电子市场表现良好。成长股方面，石头科技在欧洲市场布局加强，九号公司新品热销，涛涛车业销量预期提升，安克创新与绿联科技持续看好。整体估值低，基本面改善，看好后市表现。</w:t>
      </w:r>
    </w:p>
    <w:p>
      <w:r>
        <w:rPr>
          <w:rFonts w:ascii="等线(中文正文)" w:hAnsi="等线(中文正文)" w:cs="等线(中文正文)" w:eastAsia="等线(中文正文)"/>
          <w:b w:val="false"/>
          <w:i w:val="false"/>
          <w:sz w:val="20"/>
        </w:rPr>
        <w:t/>
      </w:r>
    </w:p>
    <w:p>
      <w:pPr>
        <w:pStyle w:val="ab"/>
        <w:numPr>
          <w:numId w:val="2"/>
        </w:numPr>
      </w:pPr>
      <w:r>
        <w:t>04:55 农林牧渔行业观点：生猪养殖与种植链前景</w:t>
      </w:r>
    </w:p>
    <w:p>
      <w:r>
        <w:rPr>
          <w:rFonts w:ascii="等线(中文正文)" w:hAnsi="等线(中文正文)" w:cs="等线(中文正文)" w:eastAsia="等线(中文正文)"/>
          <w:b w:val="false"/>
          <w:i w:val="false"/>
          <w:sz w:val="20"/>
        </w:rPr>
        <w:t>分享了农林牧渔行业最新观点，重点看好生猪养殖及种植链。生猪养殖方面，政策调控持续，行业面临持续亏损与产能去化，预计明年见周期拐点，建议关注牧原股份等个股。种植链方面，玉米价格回升，转基因技术推进，天气因素可能带来短期炒作机会，推荐关注隆平高科等企业。</w:t>
      </w:r>
    </w:p>
    <w:p>
      <w:r>
        <w:rPr>
          <w:rFonts w:ascii="等线(中文正文)" w:hAnsi="等线(中文正文)" w:cs="等线(中文正文)" w:eastAsia="等线(中文正文)"/>
          <w:b w:val="false"/>
          <w:i w:val="false"/>
          <w:sz w:val="20"/>
        </w:rPr>
        <w:t/>
      </w:r>
    </w:p>
    <w:p>
      <w:pPr>
        <w:pStyle w:val="ab"/>
        <w:numPr>
          <w:numId w:val="3"/>
        </w:numPr>
      </w:pPr>
      <w:r>
        <w:t>09:55 海外消费行业观点分享：Token经济与牙科市场前景</w:t>
      </w:r>
    </w:p>
    <w:p>
      <w:r>
        <w:rPr>
          <w:rFonts w:ascii="等线(中文正文)" w:hAnsi="等线(中文正文)" w:cs="等线(中文正文)" w:eastAsia="等线(中文正文)"/>
          <w:b w:val="false"/>
          <w:i w:val="false"/>
          <w:sz w:val="20"/>
        </w:rPr>
        <w:t>分享了海外消费行业两大核心观点：一是Token经济在企业消费中的新角色，小米max等产品的新品发布及市场需求景气，预示着token行业良好的发展势头；二是牙科行业在氧化钇限制出口背景下，时代天使等企业通过提价增强全球竞争力，一季度收入增长12%，景气度维持高位，出海加引发经济推动全球双位数增长。</w:t>
      </w:r>
    </w:p>
    <w:p>
      <w:r>
        <w:rPr>
          <w:rFonts w:ascii="等线(中文正文)" w:hAnsi="等线(中文正文)" w:cs="等线(中文正文)" w:eastAsia="等线(中文正文)"/>
          <w:b w:val="false"/>
          <w:i w:val="false"/>
          <w:sz w:val="20"/>
        </w:rPr>
        <w:t/>
      </w:r>
    </w:p>
    <w:p>
      <w:pPr>
        <w:pStyle w:val="ab"/>
        <w:numPr>
          <w:numId w:val="4"/>
        </w:numPr>
      </w:pPr>
      <w:r>
        <w:t>15:15 消费与出口市场分析及投资推荐</w:t>
      </w:r>
    </w:p>
    <w:p>
      <w:r>
        <w:rPr>
          <w:rFonts w:ascii="等线(中文正文)" w:hAnsi="等线(中文正文)" w:cs="等线(中文正文)" w:eastAsia="等线(中文正文)"/>
          <w:b w:val="false"/>
          <w:i w:val="false"/>
          <w:sz w:val="20"/>
        </w:rPr>
        <w:t>分享了内需市场中口腔护理与家纺板块的优质投资标的，指出口腔护理龙头延续一季度强势表现，家纺板块业绩稳定且股息率高。出口方面，美国家电出口虽收入增长，但利润受运费、原材料涨价及汇率影响较弱。</w:t>
      </w:r>
    </w:p>
    <w:p>
      <w:r>
        <w:rPr>
          <w:rFonts w:ascii="等线(中文正文)" w:hAnsi="等线(中文正文)" w:cs="等线(中文正文)" w:eastAsia="等线(中文正文)"/>
          <w:b w:val="false"/>
          <w:i w:val="false"/>
          <w:sz w:val="20"/>
        </w:rPr>
        <w:t/>
      </w:r>
    </w:p>
    <w:p>
      <w:pPr>
        <w:pStyle w:val="ab"/>
        <w:numPr>
          <w:numId w:val="5"/>
        </w:numPr>
      </w:pPr>
      <w:r>
        <w:t>18:24 出海企业与科技转型的投资机会</w:t>
      </w:r>
    </w:p>
    <w:p>
      <w:r>
        <w:rPr>
          <w:rFonts w:ascii="等线(中文正文)" w:hAnsi="等线(中文正文)" w:cs="等线(中文正文)" w:eastAsia="等线(中文正文)"/>
          <w:b w:val="false"/>
          <w:i w:val="false"/>
          <w:sz w:val="20"/>
        </w:rPr>
        <w:t>对话探讨了非洲市场领导者乐舒适在纸尿裤、卫生巾等产品领域的市场表现与增长潜力，推荐其作为投资标的；分析了公牛集团在民用电工和照明市场的稳定增长及分红回购策略，强调其投资价值；介绍了华源控股从传统包装向科技转型的路径，尤其是半导体和光通信领域的布局，预示未来高增长潜力。</w:t>
      </w:r>
    </w:p>
    <w:p>
      <w:r>
        <w:rPr>
          <w:rFonts w:ascii="等线(中文正文)" w:hAnsi="等线(中文正文)" w:cs="等线(中文正文)" w:eastAsia="等线(中文正文)"/>
          <w:b w:val="false"/>
          <w:i w:val="false"/>
          <w:sz w:val="20"/>
        </w:rPr>
        <w:t/>
      </w:r>
    </w:p>
    <w:p>
      <w:pPr>
        <w:pStyle w:val="ab"/>
        <w:numPr>
          <w:numId w:val="6"/>
        </w:numPr>
      </w:pPr>
      <w:r>
        <w:t>24:39 生物医药板块创新动能与业绩增长分析</w:t>
      </w:r>
    </w:p>
    <w:p>
      <w:r>
        <w:rPr>
          <w:rFonts w:ascii="等线(中文正文)" w:hAnsi="等线(中文正文)" w:cs="等线(中文正文)" w:eastAsia="等线(中文正文)"/>
          <w:b w:val="false"/>
          <w:i w:val="false"/>
          <w:sz w:val="20"/>
        </w:rPr>
        <w:t>对话强调了生物医药板块已完成新旧动能转换，创新药及其产业链驱动业绩正增长。2026年Q1数据显示，板块收入与利润均恢复正增长，创新药相关资产增速显著。国家政策支持医药产业升级，国内企业创新能力提升，BD出海持续加大，头部公司签订高额交易，推动板块业绩向上。推荐方向延续创新及产业链，强调产业趋势、业绩支撑与催化剂。</w:t>
      </w:r>
    </w:p>
    <w:p>
      <w:r>
        <w:rPr>
          <w:rFonts w:ascii="等线(中文正文)" w:hAnsi="等线(中文正文)" w:cs="等线(中文正文)" w:eastAsia="等线(中文正文)"/>
          <w:b w:val="false"/>
          <w:i w:val="false"/>
          <w:sz w:val="20"/>
        </w:rPr>
        <w:t/>
      </w:r>
    </w:p>
    <w:p>
      <w:pPr>
        <w:pStyle w:val="ab"/>
        <w:numPr>
          <w:numId w:val="7"/>
        </w:numPr>
      </w:pPr>
      <w:r>
        <w:t>28:08 国内创新药企业出海加速与商业化兑现</w:t>
      </w:r>
    </w:p>
    <w:p>
      <w:r>
        <w:rPr>
          <w:rFonts w:ascii="等线(中文正文)" w:hAnsi="等线(中文正文)" w:cs="等线(中文正文)" w:eastAsia="等线(中文正文)"/>
          <w:b w:val="false"/>
          <w:i w:val="false"/>
          <w:sz w:val="20"/>
        </w:rPr>
        <w:t>对话讨论了中国创新药企在管线差异化、出海合作及商业化方面的进展，特别强调了二代IO、ADC等技术的领先优势及海外数据更新带来的投资机会，建议重视并布局相关优质头部企业。</w:t>
      </w:r>
    </w:p>
    <w:p>
      <w:r>
        <w:rPr>
          <w:rFonts w:ascii="等线(中文正文)" w:hAnsi="等线(中文正文)" w:cs="等线(中文正文)" w:eastAsia="等线(中文正文)"/>
          <w:b w:val="false"/>
          <w:i w:val="false"/>
          <w:sz w:val="20"/>
        </w:rPr>
        <w:t/>
      </w:r>
    </w:p>
    <w:p>
      <w:pPr>
        <w:pStyle w:val="ab"/>
        <w:numPr>
          <w:numId w:val="8"/>
        </w:numPr>
      </w:pPr>
      <w:r>
        <w:t>32:10 医药板块投资机会与产业链分析</w:t>
      </w:r>
    </w:p>
    <w:p>
      <w:r>
        <w:rPr>
          <w:rFonts w:ascii="等线(中文正文)" w:hAnsi="等线(中文正文)" w:cs="等线(中文正文)" w:eastAsia="等线(中文正文)"/>
          <w:b w:val="false"/>
          <w:i w:val="false"/>
          <w:sz w:val="20"/>
        </w:rPr>
        <w:t>对话深入探讨了医药板块的投资机会，强调了商家产业链、减肥药产业链及AI相关领域如脑机接口、机器人等的长期投资价值。提及了药明康德、卡莱茵等龙头企业的投资潜力，以及国内创新药行业快速恢复带来的订单加速向上趋势。同时，指出AI在医疗器械领域的应用可能带来新的机遇，建议关注相关公司的产业变化机会。</w:t>
      </w:r>
    </w:p>
    <w:p>
      <w:r>
        <w:rPr>
          <w:rFonts w:ascii="等线(中文正文)" w:hAnsi="等线(中文正文)" w:cs="等线(中文正文)" w:eastAsia="等线(中文正文)"/>
          <w:b w:val="false"/>
          <w:i w:val="false"/>
          <w:sz w:val="20"/>
        </w:rPr>
        <w:t/>
      </w:r>
    </w:p>
    <w:p>
      <w:pPr>
        <w:pStyle w:val="ab"/>
        <w:numPr>
          <w:numId w:val="9"/>
        </w:numPr>
      </w:pPr>
      <w:r>
        <w:t>33:46 传媒互联网行业AI应用与大模型发展展望</w:t>
      </w:r>
    </w:p>
    <w:p>
      <w:r>
        <w:rPr>
          <w:rFonts w:ascii="等线(中文正文)" w:hAnsi="等线(中文正文)" w:cs="等线(中文正文)" w:eastAsia="等线(中文正文)"/>
          <w:b w:val="false"/>
          <w:i w:val="false"/>
          <w:sz w:val="20"/>
        </w:rPr>
        <w:t>传媒互联网板块兼具科技与消费属性，核心看好AI大模型及应用方向。大模型持续升级迭代，带动商业化收入高增，国产模型能力提升，性价比优势明显，有望迎来估值提升。重点推荐AI漫剧、短剧、游戏及广告等核心应用领域，相关标的包括月文、德才股份、中文在线、完美世界、心动公司等。</w:t>
      </w:r>
    </w:p>
    <w:p>
      <w:r>
        <w:rPr>
          <w:rFonts w:ascii="等线(中文正文)" w:hAnsi="等线(中文正文)" w:cs="等线(中文正文)" w:eastAsia="等线(中文正文)"/>
          <w:b w:val="false"/>
          <w:i w:val="false"/>
          <w:sz w:val="20"/>
        </w:rPr>
        <w:t/>
      </w:r>
    </w:p>
    <w:p>
      <w:pPr>
        <w:pStyle w:val="ab"/>
        <w:numPr>
          <w:numId w:val="10"/>
        </w:numPr>
      </w:pPr>
      <w:r>
        <w:t>37:45 算力租赁与传媒行业转型机遇</w:t>
      </w:r>
    </w:p>
    <w:p>
      <w:r>
        <w:rPr>
          <w:rFonts w:ascii="等线(中文正文)" w:hAnsi="等线(中文正文)" w:cs="等线(中文正文)" w:eastAsia="等线(中文正文)"/>
          <w:b w:val="false"/>
          <w:i w:val="false"/>
          <w:sz w:val="20"/>
        </w:rPr>
        <w:t>对话探讨了算力租赁在AI大模型迭代升级背景下的高需求与供给缺口，预期将推高租赁价格，看好传媒行业转型布局的公司，如华盛影视等。同时，建议关注传媒互联网消费方向，当前估值性价比高，处于情绪低点，机构持仓配置及历史估值分位均处于低位。</w:t>
      </w:r>
    </w:p>
    <w:p>
      <w:r>
        <w:rPr>
          <w:rFonts w:ascii="等线(中文正文)" w:hAnsi="等线(中文正文)" w:cs="等线(中文正文)" w:eastAsia="等线(中文正文)"/>
          <w:b w:val="false"/>
          <w:i w:val="false"/>
          <w:sz w:val="20"/>
        </w:rPr>
        <w:t/>
      </w:r>
    </w:p>
    <w:p>
      <w:pPr>
        <w:pStyle w:val="ab"/>
        <w:numPr>
          <w:numId w:val="11"/>
        </w:numPr>
      </w:pPr>
      <w:r>
        <w:t>38:45 暑期文娱消费旺季与传媒板块布局</w:t>
      </w:r>
    </w:p>
    <w:p>
      <w:r>
        <w:rPr>
          <w:rFonts w:ascii="等线(中文正文)" w:hAnsi="等线(中文正文)" w:cs="等线(中文正文)" w:eastAsia="等线(中文正文)"/>
          <w:b w:val="false"/>
          <w:i w:val="false"/>
          <w:sz w:val="20"/>
        </w:rPr>
        <w:t>六至七月为暑期文娱消费旺季，涉及游戏、漫剧、电影及线下活动等多领域，预计消费回暖。建议投资者关注AI游戏、漫剧、电影及体育赛事相关标的，如博纳影业、猫眼娱乐、哔哩哔哩等。同时，关注暑期档电影表现及背后出品方，以及体育营销与世界杯相关主题机会。</w:t>
      </w:r>
    </w:p>
    <w:p>
      <w:r>
        <w:rPr>
          <w:rFonts w:ascii="等线(中文正文)" w:hAnsi="等线(中文正文)" w:cs="等线(中文正文)" w:eastAsia="等线(中文正文)"/>
          <w:b w:val="false"/>
          <w:i w:val="false"/>
          <w:sz w:val="20"/>
        </w:rPr>
        <w:t/>
      </w:r>
    </w:p>
    <w:p>
      <w:pPr>
        <w:pStyle w:val="ab"/>
        <w:numPr>
          <w:numId w:val="12"/>
        </w:numPr>
      </w:pPr>
      <w:r>
        <w:t>40:48 消费复苏背景下黄金珠宝行业调研分析</w:t>
      </w:r>
    </w:p>
    <w:p>
      <w:r>
        <w:rPr>
          <w:rFonts w:ascii="等线(中文正文)" w:hAnsi="等线(中文正文)" w:cs="等线(中文正文)" w:eastAsia="等线(中文正文)"/>
          <w:b w:val="false"/>
          <w:i w:val="false"/>
          <w:sz w:val="20"/>
        </w:rPr>
        <w:t>分享了在消费复苏大背景下，黄金珠宝行业从渠道为王转向差异化产品加产品洞察的趋势，关注消费者、加盟商及商业物业方的变化，建议重点关注能够顺应消费趋势和行业相关方态度变化的新闻方式，以获取行业新格局下的收益机会。</w:t>
      </w:r>
    </w:p>
    <w:p>
      <w:r>
        <w:rPr>
          <w:rFonts w:ascii="等线(中文正文)" w:hAnsi="等线(中文正文)" w:cs="等线(中文正文)" w:eastAsia="等线(中文正文)"/>
          <w:b w:val="false"/>
          <w:i w:val="false"/>
          <w:sz w:val="20"/>
        </w:rPr>
        <w:t/>
      </w:r>
    </w:p>
    <w:p>
      <w:pPr>
        <w:pStyle w:val="ab"/>
        <w:numPr>
          <w:numId w:val="13"/>
        </w:numPr>
      </w:pPr>
      <w:r>
        <w:t>42:05 珠宝板块高端黄金主线分析及未来估值展望</w:t>
      </w:r>
    </w:p>
    <w:p>
      <w:r>
        <w:rPr>
          <w:rFonts w:ascii="等线(中文正文)" w:hAnsi="等线(中文正文)" w:cs="等线(中文正文)" w:eastAsia="等线(中文正文)"/>
          <w:b w:val="false"/>
          <w:i w:val="false"/>
          <w:sz w:val="20"/>
        </w:rPr>
        <w:t>对话讨论了珠宝板块，特别是高端黄金主线的强劲基本面，包括老付品牌等在客服商圈加速布局的情况。近期销售恢复明显，新客持续涌入，毛利率提升，具备持续扩张潜力。未来关注点包括季度销售韧性、高客渠道与服务建立、品牌出海及海外门店销售放量。当前估值8到9倍，认为具有高性价比，未来存在超预期与盘估值空间。</w:t>
      </w:r>
    </w:p>
    <w:p>
      <w:r>
        <w:rPr>
          <w:rFonts w:ascii="等线(中文正文)" w:hAnsi="等线(中文正文)" w:cs="等线(中文正文)" w:eastAsia="等线(中文正文)"/>
          <w:b w:val="false"/>
          <w:i w:val="false"/>
          <w:sz w:val="20"/>
        </w:rPr>
        <w:t/>
      </w:r>
    </w:p>
    <w:p>
      <w:pPr>
        <w:pStyle w:val="ab"/>
        <w:numPr>
          <w:numId w:val="14"/>
        </w:numPr>
      </w:pPr>
      <w:r>
        <w:t>43:04 投资策略：黄金板块与美户双商品的市场潜力</w:t>
      </w:r>
    </w:p>
    <w:p>
      <w:r>
        <w:rPr>
          <w:rFonts w:ascii="等线(中文正文)" w:hAnsi="等线(中文正文)" w:cs="等线(中文正文)" w:eastAsia="等线(中文正文)"/>
          <w:b w:val="false"/>
          <w:i w:val="false"/>
          <w:sz w:val="20"/>
        </w:rPr>
        <w:t>对话讨论了黄金板块，特别是高端黄金市场的投资价值，强调了其在年轻消费者中的吸引力和品牌竞争力提升。同时，提到了美户双商品板块，尤其是在618期间的市场表现，表明了这两个领域的投资潜力和市场预期的修正空间。</w:t>
      </w:r>
    </w:p>
    <w:p>
      <w:r>
        <w:rPr>
          <w:rFonts w:ascii="等线(中文正文)" w:hAnsi="等线(中文正文)" w:cs="等线(中文正文)" w:eastAsia="等线(中文正文)"/>
          <w:b w:val="false"/>
          <w:i w:val="false"/>
          <w:sz w:val="20"/>
        </w:rPr>
        <w:t/>
      </w:r>
    </w:p>
    <w:p>
      <w:pPr>
        <w:pStyle w:val="ab"/>
        <w:numPr>
          <w:numId w:val="15"/>
        </w:numPr>
      </w:pPr>
      <w:r>
        <w:t>44:39 美妆与医美消费趋势分析</w:t>
      </w:r>
    </w:p>
    <w:p>
      <w:r>
        <w:rPr>
          <w:rFonts w:ascii="等线(中文正文)" w:hAnsi="等线(中文正文)" w:cs="等线(中文正文)" w:eastAsia="等线(中文正文)"/>
          <w:b w:val="false"/>
          <w:i w:val="false"/>
          <w:sz w:val="20"/>
        </w:rPr>
        <w:t>对话围绕美妆与医美消费趋势展开，指出高端品牌与功效型护肤品的强势表现，国货美妆品牌在618大促中的催化作用，以及高端消费领域医美机构的客流回升和投资机会，建议关注相关龙头机构。</w:t>
      </w:r>
    </w:p>
    <w:p>
      <w:r>
        <w:rPr>
          <w:rFonts w:ascii="等线(中文正文)" w:hAnsi="等线(中文正文)" w:cs="等线(中文正文)" w:eastAsia="等线(中文正文)"/>
          <w:b w:val="false"/>
          <w:i w:val="false"/>
          <w:sz w:val="20"/>
        </w:rPr>
        <w:t/>
      </w:r>
    </w:p>
    <w:p>
      <w:pPr>
        <w:pStyle w:val="ab"/>
        <w:numPr>
          <w:numId w:val="16"/>
        </w:numPr>
      </w:pPr>
      <w:r>
        <w:t>45:35 母婴零售板块与电商行业动态分析</w:t>
      </w:r>
    </w:p>
    <w:p>
      <w:r>
        <w:rPr>
          <w:rFonts w:ascii="等线(中文正文)" w:hAnsi="等线(中文正文)" w:cs="等线(中文正文)" w:eastAsia="等线(中文正文)"/>
          <w:b w:val="false"/>
          <w:i w:val="false"/>
          <w:sz w:val="20"/>
        </w:rPr>
        <w:t>对话探讨了母婴零售板块中爱因市放开加盟决策带来的行业整合机会，以及电商头部公司一季度业绩修复和库存优化提升经营效率的趋势，建议持续关注这两个领域的变化和投资机会。</w:t>
      </w:r>
    </w:p>
    <w:p>
      <w:r>
        <w:rPr>
          <w:rFonts w:ascii="等线(中文正文)" w:hAnsi="等线(中文正文)" w:cs="等线(中文正文)" w:eastAsia="等线(中文正文)"/>
          <w:b w:val="false"/>
          <w:i w:val="false"/>
          <w:sz w:val="20"/>
        </w:rPr>
        <w:t/>
      </w:r>
    </w:p>
    <w:p>
      <w:pPr>
        <w:pStyle w:val="ab"/>
        <w:numPr>
          <w:numId w:val="17"/>
        </w:numPr>
      </w:pPr>
      <w:r>
        <w:t>46:55 社会服务板块恢复与AI赋能趋势分析</w:t>
      </w:r>
    </w:p>
    <w:p>
      <w:r>
        <w:rPr>
          <w:rFonts w:ascii="等线(中文正文)" w:hAnsi="等线(中文正文)" w:cs="等线(中文正文)" w:eastAsia="等线(中文正文)"/>
          <w:b w:val="false"/>
          <w:i w:val="false"/>
          <w:sz w:val="20"/>
        </w:rPr>
        <w:t>对话围绕社会服务板块的恢复情况展开，重点讨论了酒店、餐饮、教育等行业在边际上的恢复态势，特别是AI在教育领域的渗透加速带来的细分赛道机会。提及长白山、锦江、科瑞等公司作为投资标的，并强调社区从总量修复转向机构更换的核心思路。最后，邀请对细分板块感兴趣的团队进行进一步交流，分享视频聊板块的最新观点。</w:t>
      </w:r>
    </w:p>
    <w:p>
      <w:r>
        <w:rPr>
          <w:rFonts w:ascii="等线(中文正文)" w:hAnsi="等线(中文正文)" w:cs="等线(中文正文)" w:eastAsia="等线(中文正文)"/>
          <w:b w:val="false"/>
          <w:i w:val="false"/>
          <w:sz w:val="20"/>
        </w:rPr>
        <w:t/>
      </w:r>
    </w:p>
    <w:p>
      <w:pPr>
        <w:pStyle w:val="ab"/>
        <w:numPr>
          <w:numId w:val="18"/>
        </w:numPr>
      </w:pPr>
      <w:r>
        <w:t>47:47 食品板块复苏与估值修复双动力</w:t>
      </w:r>
    </w:p>
    <w:p>
      <w:r>
        <w:rPr>
          <w:rFonts w:ascii="等线(中文正文)" w:hAnsi="等线(中文正文)" w:cs="等线(中文正文)" w:eastAsia="等线(中文正文)"/>
          <w:b w:val="false"/>
          <w:i w:val="false"/>
          <w:sz w:val="20"/>
        </w:rPr>
        <w:t>近期食品板块呈现独立上涨行情，市场风格切换和资金调仓驱动。板块估值处于低位，行业基本面企稳，尤其白酒渠道去库存，大众品需求回暖，形成估值与基本面双重修复动力。6月面临去年低基数，预计行业增速将加速，餐饮细分领域如调味品、速冻食品业绩确定性较强。</w:t>
      </w:r>
    </w:p>
    <w:p>
      <w:r>
        <w:rPr>
          <w:rFonts w:ascii="等线(中文正文)" w:hAnsi="等线(中文正文)" w:cs="等线(中文正文)" w:eastAsia="等线(中文正文)"/>
          <w:b w:val="false"/>
          <w:i w:val="false"/>
          <w:sz w:val="20"/>
        </w:rPr>
        <w:t/>
      </w:r>
    </w:p>
    <w:p>
      <w:pPr>
        <w:pStyle w:val="ab"/>
        <w:numPr>
          <w:numId w:val="19"/>
        </w:numPr>
      </w:pPr>
      <w:r>
        <w:t>49:15 大消费行业复苏拐点明确，白酒稳健大众品多点开花</w:t>
      </w:r>
    </w:p>
    <w:p>
      <w:r>
        <w:rPr>
          <w:rFonts w:ascii="等线(中文正文)" w:hAnsi="等线(中文正文)" w:cs="等线(中文正文)" w:eastAsia="等线(中文正文)"/>
          <w:b w:val="false"/>
          <w:i w:val="false"/>
          <w:sz w:val="20"/>
        </w:rPr>
        <w:t>对话内容聚焦于大消费行业，尤其是白酒和大众品领域的复苏态势。白酒行业经历阵痛期后，价格体系逐渐企稳，估值处于历史低位，建议中长期布局高端龙头，短期关注次高端弹性品种。大众品方面，原奶价格拐点预示长周期机会，推荐牧场及乳业龙头，中期看好餐饮供应链，短期啤酒板块因高温天气及赛事催化有望实现量价双升。整体来看，大消费行业底部特征明显，复苏拐点可期，白酒稳健复苏，大众品多点开花，投资机会丰富。</w:t>
      </w:r>
    </w:p>
    <w:p>
      <w:r>
        <w:rPr>
          <w:rFonts w:ascii="等线(中文正文)" w:hAnsi="等线(中文正文)" w:cs="等线(中文正文)" w:eastAsia="等线(中文正文)"/>
          <w:b w:val="false"/>
          <w:i w:val="false"/>
          <w:sz w:val="20"/>
        </w:rPr>
        <w:t/>
      </w:r>
    </w:p>
    <w:p>
      <w:pPr>
        <w:pStyle w:val="a7"/>
      </w:pPr>
      <w:r>
        <w:t>发言总结</w:t>
      </w:r>
    </w:p>
    <w:p>
      <w:pPr>
        <w:pStyle w:val="ab"/>
        <w:numPr>
          <w:numId w:val="20"/>
        </w:numPr>
      </w:pPr>
      <w:r>
        <w:t>发言人1</w:t>
      </w:r>
    </w:p>
    <w:p>
      <w:r>
        <w:rPr>
          <w:rFonts w:ascii="等线(中文正文)" w:hAnsi="等线(中文正文)" w:cs="等线(中文正文)" w:eastAsia="等线(中文正文)"/>
          <w:b w:val="false"/>
          <w:i w:val="false"/>
          <w:sz w:val="20"/>
        </w:rPr>
        <w:t>他对多个行业进行了深入分析与展望，聚焦家电、农林牧渔、海外消费、轻工纺服、生物医药、传媒互联网及商贸零售和食品饮料等。在家电领域，推荐美的和TGL电子，强调在消费疲软中，龙头公司业绩稳定、分红高，适合作为投资标的。农林牧渔行业，重点关注生猪养殖，预计未来亏损持续，建议关注牧原股份等。海外消费领域看好AI发展，特别是大模型升级与算力需求增长。轻工纺服方面，强调内需、出口和制造方向的重要性，强调品牌创新和产品升级。生物医药领域，关注创新药和国产模型出海，以及AI在医药的应用。传媒互联网行业，看好AI在游戏、广告及内容生产中的创新，算力租赁市场潜力巨大。商贸零售领域，指出高端珠宝、时尚黄金、高端美妆及母婴零售的投资机会。食品饮料板块，认为板块底部特征明显，长期看好，特别是白酒和大众品的恢复潜力。他的发言凸显行业趋势、投资机会与政策背景的重要性，为投资者提供深入洞察与投资建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问：家电行业投资方面，你们目前推荐的标的有哪些？</w:t>
      </w:r>
    </w:p>
    <w:p>
      <w:r>
        <w:rPr>
          <w:rFonts w:ascii="等线(中文正文)" w:hAnsi="等线(中文正文)" w:cs="等线(中文正文)" w:eastAsia="等线(中文正文)"/>
          <w:b w:val="false"/>
          <w:i w:val="false"/>
          <w:sz w:val="20"/>
        </w:rPr>
        <w:t>发言人1 答：我们目前推荐的家电行业标的分为两个方向。稳健型方向主要推荐美的和TGL电子，这两家公司业绩稳定性强且分红比例高，适合消费板块的配置。成长股方向则推荐石头科技、九号公司、涛涛车业和绿联安克创新等公司，它们在近期有较大调整，但基本面并无明显利空。</w:t>
      </w:r>
    </w:p>
    <w:p>
      <w:r>
        <w:rPr>
          <w:rFonts w:ascii="等线(中文正文)" w:hAnsi="等线(中文正文)" w:cs="等线(中文正文)" w:eastAsia="等线(中文正文)"/>
          <w:b w:val="false"/>
          <w:i w:val="false"/>
          <w:sz w:val="20"/>
        </w:rPr>
        <w:t/>
      </w:r>
    </w:p>
    <w:p>
      <w:pPr>
        <w:pStyle w:val="ab"/>
      </w:pPr>
      <w:r>
        <w:t>发言人1 问：对于石头科技和九号公司的最新情况如何？</w:t>
      </w:r>
    </w:p>
    <w:p>
      <w:r>
        <w:rPr>
          <w:rFonts w:ascii="等线(中文正文)" w:hAnsi="等线(中文正文)" w:cs="等线(中文正文)" w:eastAsia="等线(中文正文)"/>
          <w:b w:val="false"/>
          <w:i w:val="false"/>
          <w:sz w:val="20"/>
        </w:rPr>
        <w:t>发言人1 答：石头科技在欧洲市场正在补充新的销售力量，并针对不同市场制定了明确的战略。虽然有费用尚未完全投放，但预计二季度利润率会略好于预期。九号公司新发布的豪华产品销售表现良好，预计二季度能保持双位数增长，且存在超预期的空间。</w:t>
      </w:r>
    </w:p>
    <w:p>
      <w:r>
        <w:rPr>
          <w:rFonts w:ascii="等线(中文正文)" w:hAnsi="等线(中文正文)" w:cs="等线(中文正文)" w:eastAsia="等线(中文正文)"/>
          <w:b w:val="false"/>
          <w:i w:val="false"/>
          <w:sz w:val="20"/>
        </w:rPr>
        <w:t/>
      </w:r>
    </w:p>
    <w:p>
      <w:pPr>
        <w:pStyle w:val="ab"/>
      </w:pPr>
      <w:r>
        <w:t>发言人1 问：农林牧渔行业的重点关注是什么？</w:t>
      </w:r>
    </w:p>
    <w:p>
      <w:r>
        <w:rPr>
          <w:rFonts w:ascii="等线(中文正文)" w:hAnsi="等线(中文正文)" w:cs="等线(中文正文)" w:eastAsia="等线(中文正文)"/>
          <w:b w:val="false"/>
          <w:i w:val="false"/>
          <w:sz w:val="20"/>
        </w:rPr>
        <w:t>发言人1 答：目前我们重点看好生猪养殖板块。5月份农业农村部印发了生猪产能调控实施方案，调低了能繁母猪的正常保有量，并划分了绿色、黄色、红色区域来实施相应的调控措施。从政策推进情况和市场表现来看，行业产能去化趋势明显，猪价持续低迷，预计未来几个月行业将持续亏损和现金流出，产能去化仍将是行业主旋律。建议关注生猪养殖股，如牧原股份、温氏股份以及弹性标的德康农牧，同时关注低估值个股新希望。</w:t>
      </w:r>
    </w:p>
    <w:p>
      <w:r>
        <w:rPr>
          <w:rFonts w:ascii="等线(中文正文)" w:hAnsi="等线(中文正文)" w:cs="等线(中文正文)" w:eastAsia="等线(中文正文)"/>
          <w:b w:val="false"/>
          <w:i w:val="false"/>
          <w:sz w:val="20"/>
        </w:rPr>
        <w:t/>
      </w:r>
    </w:p>
    <w:p>
      <w:pPr>
        <w:pStyle w:val="ab"/>
      </w:pPr>
      <w:r>
        <w:t>发言人1 问：种植链方面有何看法？</w:t>
      </w:r>
    </w:p>
    <w:p>
      <w:r>
        <w:rPr>
          <w:rFonts w:ascii="等线(中文正文)" w:hAnsi="等线(中文正文)" w:cs="等线(中文正文)" w:eastAsia="等线(中文正文)"/>
          <w:b w:val="false"/>
          <w:i w:val="false"/>
          <w:sz w:val="20"/>
        </w:rPr>
        <w:t>发言人1 答：种植链经历了两年多的低迷期后开始复苏。国内玉米价格已有所上涨，预计未来若玉米价格景气度改善，将拉动种子需求，有利于整个行业业绩增长。此外，转基因技术的应用也是看点，隆平高科和大北农等拥有深厚积淀的公司有望受益。另外，厄尔尼诺现象预期较高，可能对国内粮食种植产生负面影响，也建议关注天气对种植链的影响。</w:t>
      </w:r>
    </w:p>
    <w:p>
      <w:r>
        <w:rPr>
          <w:rFonts w:ascii="等线(中文正文)" w:hAnsi="等线(中文正文)" w:cs="等线(中文正文)" w:eastAsia="等线(中文正文)"/>
          <w:b w:val="false"/>
          <w:i w:val="false"/>
          <w:sz w:val="20"/>
        </w:rPr>
        <w:t/>
      </w:r>
    </w:p>
    <w:p>
      <w:pPr>
        <w:pStyle w:val="ab"/>
      </w:pPr>
      <w:r>
        <w:t>发言人1 问：海外消费领域中，对于TikTok（应指小米max）的看法如何？</w:t>
      </w:r>
    </w:p>
    <w:p>
      <w:r>
        <w:rPr>
          <w:rFonts w:ascii="等线(中文正文)" w:hAnsi="等线(中文正文)" w:cs="等线(中文正文)" w:eastAsia="等线(中文正文)"/>
          <w:b w:val="false"/>
          <w:i w:val="false"/>
          <w:sz w:val="20"/>
        </w:rPr>
        <w:t>发言人1 答：TikTok（此处指代小米max）即将发布新产品，公司enr募资额快速增长，预计6月有望实现500亿美金，接近1万亿美金估值。尽管存在入通风险，但下游需求景气及新品催化下，仍看好其长期发展。短期来看，mini max弹性可能更大，而质朴更多依赖于8月份左右GLM6的新品发布。同时，TikTok（此处指代token业务）价格在全球属于较低水平，提价空间大，若仅考虑价格提升，完成全年目标无虞；而随着模型能力提升带来的调用量翻倍增长，有望超年初公司指引。</w:t>
      </w:r>
    </w:p>
    <w:p>
      <w:r>
        <w:rPr>
          <w:rFonts w:ascii="等线(中文正文)" w:hAnsi="等线(中文正文)" w:cs="等线(中文正文)" w:eastAsia="等线(中文正文)"/>
          <w:b w:val="false"/>
          <w:i w:val="false"/>
          <w:sz w:val="20"/>
        </w:rPr>
        <w:t/>
      </w:r>
    </w:p>
    <w:p>
      <w:pPr>
        <w:pStyle w:val="ab"/>
      </w:pPr>
      <w:r>
        <w:t>发言人1 问：牙科领域的相关公司一季度经营情况如何？</w:t>
      </w:r>
    </w:p>
    <w:p>
      <w:r>
        <w:rPr>
          <w:rFonts w:ascii="等线(中文正文)" w:hAnsi="等线(中文正文)" w:cs="等线(中文正文)" w:eastAsia="等线(中文正文)"/>
          <w:b w:val="false"/>
          <w:i w:val="false"/>
          <w:sz w:val="20"/>
        </w:rPr>
        <w:t>发言人1 答：在牙科领域，推荐的新时代天使艾迪特等三家公司一季度收入实现了12%的增长，其中量增4个点，价增7%。这与氧化钇限制出口导致的价格提升有关，该公司的提价策略已得到验证，目前估值较低，且整个行业在全球具有双位数增长的景气度。</w:t>
      </w:r>
    </w:p>
    <w:p>
      <w:r>
        <w:rPr>
          <w:rFonts w:ascii="等线(中文正文)" w:hAnsi="等线(中文正文)" w:cs="等线(中文正文)" w:eastAsia="等线(中文正文)"/>
          <w:b w:val="false"/>
          <w:i w:val="false"/>
          <w:sz w:val="20"/>
        </w:rPr>
        <w:t/>
      </w:r>
    </w:p>
    <w:p>
      <w:pPr>
        <w:pStyle w:val="ab"/>
      </w:pPr>
      <w:r>
        <w:t>发言人1 问：香港地产和内地商业地产的情况怎样？轻工纺服行业的最新观点是什么？</w:t>
      </w:r>
    </w:p>
    <w:p>
      <w:r>
        <w:rPr>
          <w:rFonts w:ascii="等线(中文正文)" w:hAnsi="等线(中文正文)" w:cs="等线(中文正文)" w:eastAsia="等线(中文正文)"/>
          <w:b w:val="false"/>
          <w:i w:val="false"/>
          <w:sz w:val="20"/>
        </w:rPr>
        <w:t>发言人1 答：香港地产及深圳写字楼销售和租赁情况表现出小阳春延续的现象，比市场预期更快。尽管外资对中国消费有所担忧，但估值较高、股价调整后，我们认为是布局的机会。内需方面，二季度C端消费需求有所分化，部分板块如东东口腔表现较好。东东口腔在二季度线上收入预计有高双位数增长，线下虽有所回落但仍保持10%以上增长，整体业绩保持强势。此外，推荐关注家纺板块的罗拉和水星，它们业绩稳定、股息率高且增长稳健。</w:t>
      </w:r>
    </w:p>
    <w:p>
      <w:r>
        <w:rPr>
          <w:rFonts w:ascii="等线(中文正文)" w:hAnsi="等线(中文正文)" w:cs="等线(中文正文)" w:eastAsia="等线(中文正文)"/>
          <w:b w:val="false"/>
          <w:i w:val="false"/>
          <w:sz w:val="20"/>
        </w:rPr>
        <w:t/>
      </w:r>
    </w:p>
    <w:p>
      <w:pPr>
        <w:pStyle w:val="ab"/>
      </w:pPr>
      <w:r>
        <w:t>发言人1 问：出海出口方向上有哪些推荐公司？</w:t>
      </w:r>
    </w:p>
    <w:p>
      <w:r>
        <w:rPr>
          <w:rFonts w:ascii="等线(中文正文)" w:hAnsi="等线(中文正文)" w:cs="等线(中文正文)" w:eastAsia="等线(中文正文)"/>
          <w:b w:val="false"/>
          <w:i w:val="false"/>
          <w:sz w:val="20"/>
        </w:rPr>
        <w:t>发言人1 答：出海出口方面，乐舒适（非洲市场纸尿裤、卫生巾等龙头）是首推公司，非洲市场份额占有率第一，有望受益于非洲市场人口增长率红利以及本土化战略深化带来的增长。同时，公牛集团是民用电工和照明行业龙头，传统业务触底回升，新能源、储能等新业务稳步推进，分红回购比例提升，整体估值较低。</w:t>
      </w:r>
    </w:p>
    <w:p>
      <w:r>
        <w:rPr>
          <w:rFonts w:ascii="等线(中文正文)" w:hAnsi="等线(中文正文)" w:cs="等线(中文正文)" w:eastAsia="等线(中文正文)"/>
          <w:b w:val="false"/>
          <w:i w:val="false"/>
          <w:sz w:val="20"/>
        </w:rPr>
        <w:t/>
      </w:r>
    </w:p>
    <w:p>
      <w:pPr>
        <w:pStyle w:val="ab"/>
      </w:pPr>
      <w:r>
        <w:t>发言人1 问：科技转型主线上的推荐股票是哪家？</w:t>
      </w:r>
    </w:p>
    <w:p>
      <w:r>
        <w:rPr>
          <w:rFonts w:ascii="等线(中文正文)" w:hAnsi="等线(中文正文)" w:cs="等线(中文正文)" w:eastAsia="等线(中文正文)"/>
          <w:b w:val="false"/>
          <w:i w:val="false"/>
          <w:sz w:val="20"/>
        </w:rPr>
        <w:t>发言人1 答：科技转型主线推荐华源控股，公司自2025年开始积极拥抱科技，转型半导体、光通信等领域，并已成立相关子公司进行布局。当前市值较小，未充分反映其科技转型潜力，随着转型业务的动作落地，未来发展空间广阔。</w:t>
      </w:r>
    </w:p>
    <w:p>
      <w:r>
        <w:rPr>
          <w:rFonts w:ascii="等线(中文正文)" w:hAnsi="等线(中文正文)" w:cs="等线(中文正文)" w:eastAsia="等线(中文正文)"/>
          <w:b w:val="false"/>
          <w:i w:val="false"/>
          <w:sz w:val="20"/>
        </w:rPr>
        <w:t/>
      </w:r>
    </w:p>
    <w:p>
      <w:pPr>
        <w:pStyle w:val="ab"/>
      </w:pPr>
      <w:r>
        <w:t>发言人1 问：医药板块当前的发展状况如何？</w:t>
      </w:r>
    </w:p>
    <w:p>
      <w:r>
        <w:rPr>
          <w:rFonts w:ascii="等线(中文正文)" w:hAnsi="等线(中文正文)" w:cs="等线(中文正文)" w:eastAsia="等线(中文正文)"/>
          <w:b w:val="false"/>
          <w:i w:val="false"/>
          <w:sz w:val="20"/>
        </w:rPr>
        <w:t>发言人1 答：医药板块已完成新旧动能转换，创新药及产业链驱动下，板块业绩恢复正增长（收入增长和利润双数增长）。此外，国家将医药产业升级为新型支柱产业，并持续加大创新药的出海力度，例如信达生物与辉瑞签署的重大交易协议，显示出行业发展的明显机会和趋势。</w:t>
      </w:r>
    </w:p>
    <w:p>
      <w:r>
        <w:rPr>
          <w:rFonts w:ascii="等线(中文正文)" w:hAnsi="等线(中文正文)" w:cs="等线(中文正文)" w:eastAsia="等线(中文正文)"/>
          <w:b w:val="false"/>
          <w:i w:val="false"/>
          <w:sz w:val="20"/>
        </w:rPr>
        <w:t/>
      </w:r>
    </w:p>
    <w:p>
      <w:pPr>
        <w:pStyle w:val="ab"/>
      </w:pPr>
      <w:r>
        <w:t>发言人1 问：在医药板块中，为什么创新和创新出海是主要推荐方向？</w:t>
      </w:r>
    </w:p>
    <w:p>
      <w:r>
        <w:rPr>
          <w:rFonts w:ascii="等线(中文正文)" w:hAnsi="等线(中文正文)" w:cs="等线(中文正文)" w:eastAsia="等线(中文正文)"/>
          <w:b w:val="false"/>
          <w:i w:val="false"/>
          <w:sz w:val="20"/>
        </w:rPr>
        <w:t>发言人1 答：创新及创新出海是医药板块的核心推荐方向，因为这符合产业趋势，并有业绩支撑以及不断出现的催化剂事件。例如，国内头部企业恒瑞医药与海外企业签署的一百多亿美金众包交易，以及创新药企通过管线差异化设计改变药物治疗格局，这些都显示出创新和出海对整个医药板块业绩向上拉动的关键作用。</w:t>
      </w:r>
    </w:p>
    <w:p>
      <w:r>
        <w:rPr>
          <w:rFonts w:ascii="等线(中文正文)" w:hAnsi="等线(中文正文)" w:cs="等线(中文正文)" w:eastAsia="等线(中文正文)"/>
          <w:b w:val="false"/>
          <w:i w:val="false"/>
          <w:sz w:val="20"/>
        </w:rPr>
        <w:t/>
      </w:r>
    </w:p>
    <w:p>
      <w:pPr>
        <w:pStyle w:val="ab"/>
      </w:pPr>
      <w:r>
        <w:t>发言人1 问：创新药企业出海合作有哪些变化和趋势？</w:t>
      </w:r>
    </w:p>
    <w:p>
      <w:r>
        <w:rPr>
          <w:rFonts w:ascii="等线(中文正文)" w:hAnsi="等线(中文正文)" w:cs="等线(中文正文)" w:eastAsia="等线(中文正文)"/>
          <w:b w:val="false"/>
          <w:i w:val="false"/>
          <w:sz w:val="20"/>
        </w:rPr>
        <w:t>发言人1 答：创新药企业的出海合作正变得多样化，从最初的直接管线权益合作到共同开发模式。头部企业如百利平衡、信达生物和恒瑞医药等开始选择共同开发合作方式，这反映了国内创新药企业长期发展潜力的提升。</w:t>
      </w:r>
    </w:p>
    <w:p>
      <w:r>
        <w:rPr>
          <w:rFonts w:ascii="等线(中文正文)" w:hAnsi="等线(中文正文)" w:cs="等线(中文正文)" w:eastAsia="等线(中文正文)"/>
          <w:b w:val="false"/>
          <w:i w:val="false"/>
          <w:sz w:val="20"/>
        </w:rPr>
        <w:t/>
      </w:r>
    </w:p>
    <w:p>
      <w:pPr>
        <w:pStyle w:val="ab"/>
      </w:pPr>
      <w:r>
        <w:t>发言人1 问：国内企业在哪些细分方向上的创新药资产处于领先地位？</w:t>
      </w:r>
    </w:p>
    <w:p>
      <w:r>
        <w:rPr>
          <w:rFonts w:ascii="等线(中文正文)" w:hAnsi="等线(中文正文)" w:cs="等线(中文正文)" w:eastAsia="等线(中文正文)"/>
          <w:b w:val="false"/>
          <w:i w:val="false"/>
          <w:sz w:val="20"/>
        </w:rPr>
        <w:t>发言人1 答：国内企业在二代IO、PMBETF1系列资产以及抗体药物偶联体（ADC）等领域处于领先地位，如信达生物的363和科伦博泰的ADC项目。相关资产定价尚未充分反映其价值，随着海外数据的更新和全球大三期试验结果的披露，这些国内企业的领先优势有望带来巨大的向上弹性。</w:t>
      </w:r>
    </w:p>
    <w:p>
      <w:r>
        <w:rPr>
          <w:rFonts w:ascii="等线(中文正文)" w:hAnsi="等线(中文正文)" w:cs="等线(中文正文)" w:eastAsia="等线(中文正文)"/>
          <w:b w:val="false"/>
          <w:i w:val="false"/>
          <w:sz w:val="20"/>
        </w:rPr>
        <w:t/>
      </w:r>
    </w:p>
    <w:p>
      <w:pPr>
        <w:pStyle w:val="ab"/>
      </w:pPr>
      <w:r>
        <w:t>发言人1 问：国内创新药商业化的情况如何？近期有哪些关于国内创新药的重要催化剂事件？</w:t>
      </w:r>
    </w:p>
    <w:p>
      <w:r>
        <w:rPr>
          <w:rFonts w:ascii="等线(中文正文)" w:hAnsi="等线(中文正文)" w:cs="等线(中文正文)" w:eastAsia="等线(中文正文)"/>
          <w:b w:val="false"/>
          <w:i w:val="false"/>
          <w:sz w:val="20"/>
        </w:rPr>
        <w:t>发言人1 答：国内创新药商业化进程正在快速兑现，标志着医药板块新旧动能转换已完成，创新已带动整个板块进入正增长阶段。因此，国内创新药的商业化是投资者重点的关注方向。近期的重要催化剂包括美国肿瘤学会年会上大量国内创新药管线的数据更新，特别是克伦伯特拉维斯、信达363、泽景DLC三抗等资产，它们有望改变肿瘤治疗方案。此外，康方生物的AK112数据更新也备受期待，这些优质管线的数据将奠定未来5到10年肿瘤治疗格局。</w:t>
      </w:r>
    </w:p>
    <w:p>
      <w:r>
        <w:rPr>
          <w:rFonts w:ascii="等线(中文正文)" w:hAnsi="等线(中文正文)" w:cs="等线(中文正文)" w:eastAsia="等线(中文正文)"/>
          <w:b w:val="false"/>
          <w:i w:val="false"/>
          <w:sz w:val="20"/>
        </w:rPr>
        <w:t/>
      </w:r>
    </w:p>
    <w:p>
      <w:pPr>
        <w:pStyle w:val="ab"/>
      </w:pPr>
      <w:r>
        <w:t>发言人1 问：对于创新药产业链以及AI相关标的有何看法？</w:t>
      </w:r>
    </w:p>
    <w:p>
      <w:r>
        <w:rPr>
          <w:rFonts w:ascii="等线(中文正文)" w:hAnsi="等线(中文正文)" w:cs="等线(中文正文)" w:eastAsia="等线(中文正文)"/>
          <w:b w:val="false"/>
          <w:i w:val="false"/>
          <w:sz w:val="20"/>
        </w:rPr>
        <w:t>发言人1 答：创新药产业链有望长期受益，尤其是像药明康德这样的龙头公司以及减肥药产业链。同时，AI、脑机接口、机器人等技术与医疗器械结合将带来新的机遇，相关公司在抓住产业变化机会时可能获得巨大发展空间。此外，AI相关医疗器械如脑机接口、机器人等也是推荐标的。</w:t>
      </w:r>
    </w:p>
    <w:p>
      <w:r>
        <w:rPr>
          <w:rFonts w:ascii="等线(中文正文)" w:hAnsi="等线(中文正文)" w:cs="等线(中文正文)" w:eastAsia="等线(中文正文)"/>
          <w:b w:val="false"/>
          <w:i w:val="false"/>
          <w:sz w:val="20"/>
        </w:rPr>
        <w:t/>
      </w:r>
    </w:p>
    <w:p>
      <w:pPr>
        <w:pStyle w:val="ab"/>
      </w:pPr>
      <w:r>
        <w:t>发言人1 问：传媒互联网行业六月份的主要观点是什么？</w:t>
      </w:r>
    </w:p>
    <w:p>
      <w:r>
        <w:rPr>
          <w:rFonts w:ascii="等线(中文正文)" w:hAnsi="等线(中文正文)" w:cs="等线(中文正文)" w:eastAsia="等线(中文正文)"/>
          <w:b w:val="false"/>
          <w:i w:val="false"/>
          <w:sz w:val="20"/>
        </w:rPr>
        <w:t>发言人1 答：传媒互联网行业六月份延续科技与消费双重叠加的特性，持续看好AI核心应用方向，尤其是大模型及其商业化应用的进展。随着大模型技术迭代升级，带动算力基础设施投入增加，相关产业链如光通信、GPU等将持续受益，推动整体行业估值提升和收入增长。</w:t>
      </w:r>
    </w:p>
    <w:p>
      <w:r>
        <w:rPr>
          <w:rFonts w:ascii="等线(中文正文)" w:hAnsi="等线(中文正文)" w:cs="等线(中文正文)" w:eastAsia="等线(中文正文)"/>
          <w:b w:val="false"/>
          <w:i w:val="false"/>
          <w:sz w:val="20"/>
        </w:rPr>
        <w:t/>
      </w:r>
    </w:p>
    <w:p>
      <w:pPr>
        <w:pStyle w:val="ab"/>
      </w:pPr>
      <w:r>
        <w:t>发言人1 问：国产模型在哪些领域表现突出，并且具有出海优势？国产模型推动的AI应用有哪些方向？</w:t>
      </w:r>
    </w:p>
    <w:p>
      <w:r>
        <w:rPr>
          <w:rFonts w:ascii="等线(中文正文)" w:hAnsi="等线(中文正文)" w:cs="等线(中文正文)" w:eastAsia="等线(中文正文)"/>
          <w:b w:val="false"/>
          <w:i w:val="false"/>
          <w:sz w:val="20"/>
        </w:rPr>
        <w:t>发言人1 答：国产模型在多模态领域、coding方面以及视频生产等领域表现优异，已站在全球前沿位置，性价比高，推动国产模型token出海持续增长。重点收益方向包括大模型（如红米max、阿里等）和核心I应用，特别是受益于模型的多模态能力、coding能力和AIGC能力的提升。AI漫剧短剧、AI游戏和AI广告是国产模型推动的核心收益方向。其中，AI漫剧短剧和AI游戏的研发借助动态模型和世界模型大幅降本提效，同时AI广告也会随着大模型能力提升和算法升级后规模效应的显现而带来收入增量。</w:t>
      </w:r>
    </w:p>
    <w:p>
      <w:r>
        <w:rPr>
          <w:rFonts w:ascii="等线(中文正文)" w:hAnsi="等线(中文正文)" w:cs="等线(中文正文)" w:eastAsia="等线(中文正文)"/>
          <w:b w:val="false"/>
          <w:i w:val="false"/>
          <w:sz w:val="20"/>
        </w:rPr>
        <w:t/>
      </w:r>
    </w:p>
    <w:p>
      <w:pPr>
        <w:pStyle w:val="ab"/>
      </w:pPr>
      <w:r>
        <w:t>发言人1 问：对于算力租赁市场的情况如何看待？传媒行业在算力租赁方面的布局有何推荐标的？</w:t>
      </w:r>
    </w:p>
    <w:p>
      <w:r>
        <w:rPr>
          <w:rFonts w:ascii="等线(中文正文)" w:hAnsi="等线(中文正文)" w:cs="等线(中文正文)" w:eastAsia="等线(中文正文)"/>
          <w:b w:val="false"/>
          <w:i w:val="false"/>
          <w:sz w:val="20"/>
        </w:rPr>
        <w:t>发言人1 答：随着AI大模型持续升级迭代，模型超配量和调用量增加，算力供需不匹配导致需求旺盛，供给缺口拉大，预计将拉动云厂商、大模型厂及核心应用方对算力租赁的需求提升，同时带动算力租赁价格持续上涨。传媒行业中有部分公司布局算力租赁，拥有资金优势和与大厂的合作渠道关系，市场预期相对较低，推荐华盛影视、顺网科技、三人行、新讯达品质信息等作为收益标的。</w:t>
      </w:r>
    </w:p>
    <w:p>
      <w:r>
        <w:rPr>
          <w:rFonts w:ascii="等线(中文正文)" w:hAnsi="等线(中文正文)" w:cs="等线(中文正文)" w:eastAsia="等线(中文正文)"/>
          <w:b w:val="false"/>
          <w:i w:val="false"/>
          <w:sz w:val="20"/>
        </w:rPr>
        <w:t/>
      </w:r>
    </w:p>
    <w:p>
      <w:pPr>
        <w:pStyle w:val="ab"/>
      </w:pPr>
      <w:r>
        <w:t>发言人1 问：暑期文娱消费旺季会对传媒板块有何影响？</w:t>
      </w:r>
    </w:p>
    <w:p>
      <w:r>
        <w:rPr>
          <w:rFonts w:ascii="等线(中文正文)" w:hAnsi="等线(中文正文)" w:cs="等线(中文正文)" w:eastAsia="等线(中文正文)"/>
          <w:b w:val="false"/>
          <w:i w:val="false"/>
          <w:sz w:val="20"/>
        </w:rPr>
        <w:t>发言人1 答：六七月份进入暑期文娱消费旺季，游戏流水数据、漫剧短剧、电影票房及各类线下文艺活动将拉动传媒板块相关公司的产品消费回暖。建议投资者积极布局游戏、漫剧、电影及线下活动如电竞赛事等方向。</w:t>
      </w:r>
    </w:p>
    <w:p>
      <w:r>
        <w:rPr>
          <w:rFonts w:ascii="等线(中文正文)" w:hAnsi="等线(中文正文)" w:cs="等线(中文正文)" w:eastAsia="等线(中文正文)"/>
          <w:b w:val="false"/>
          <w:i w:val="false"/>
          <w:sz w:val="20"/>
        </w:rPr>
        <w:t/>
      </w:r>
    </w:p>
    <w:p>
      <w:pPr>
        <w:pStyle w:val="ab"/>
      </w:pPr>
      <w:r>
        <w:t>发言人1 问：在电影行业方面有哪些值得关注的影片及对应标的？</w:t>
      </w:r>
    </w:p>
    <w:p>
      <w:r>
        <w:rPr>
          <w:rFonts w:ascii="等线(中文正文)" w:hAnsi="等线(中文正文)" w:cs="等线(中文正文)" w:eastAsia="等线(中文正文)"/>
          <w:b w:val="false"/>
          <w:i w:val="false"/>
          <w:sz w:val="20"/>
        </w:rPr>
        <w:t>发言人1 答：建议关注即将上映的影片如《四度》、《年会不能停2》，以及背后的出品发行方，例如博纳影业和猫眼娱乐等。此外，还应关注暑期漫展和游戏展带来的线下机会，以及世界杯相关主题方向，推荐华谊科技园、创雅图等体育板块相关标的。</w:t>
      </w:r>
    </w:p>
    <w:p>
      <w:r>
        <w:rPr>
          <w:rFonts w:ascii="等线(中文正文)" w:hAnsi="等线(中文正文)" w:cs="等线(中文正文)" w:eastAsia="等线(中文正文)"/>
          <w:b w:val="false"/>
          <w:i w:val="false"/>
          <w:sz w:val="20"/>
        </w:rPr>
        <w:t/>
      </w:r>
    </w:p>
    <w:p>
      <w:pPr>
        <w:pStyle w:val="ab"/>
      </w:pPr>
      <w:r>
        <w:t>发言人1 问：在时尚黄金板块中，有哪些公司或标的在年轻消费者中具有较大的吸引力？</w:t>
      </w:r>
    </w:p>
    <w:p>
      <w:r>
        <w:rPr>
          <w:rFonts w:ascii="等线(中文正文)" w:hAnsi="等线(中文正文)" w:cs="等线(中文正文)" w:eastAsia="等线(中文正文)"/>
          <w:b w:val="false"/>
          <w:i w:val="false"/>
          <w:sz w:val="20"/>
        </w:rPr>
        <w:t>发言人1 答：在时尚黄金新闻板块中，我们一直看好并长期关注的一个具备最强阿尔法的标的公司。他们在差异化产品、消费者种草以及质量媒体营销方面表现出领先的能力。近期的调研结果显示，该公司的边际销售情况从4月和5月以来有了显著提升，增速回到了去年较高水平。</w:t>
      </w:r>
    </w:p>
    <w:p>
      <w:r>
        <w:rPr>
          <w:rFonts w:ascii="等线(中文正文)" w:hAnsi="等线(中文正文)" w:cs="等线(中文正文)" w:eastAsia="等线(中文正文)"/>
          <w:b w:val="false"/>
          <w:i w:val="false"/>
          <w:sz w:val="20"/>
        </w:rPr>
        <w:t/>
      </w:r>
    </w:p>
    <w:p>
      <w:pPr>
        <w:pStyle w:val="ab"/>
      </w:pPr>
      <w:r>
        <w:t>发言人1 问：公司高端商场布局的情况如何，以及市场对其今年盈利预测是否存在低估？</w:t>
      </w:r>
    </w:p>
    <w:p>
      <w:r>
        <w:rPr>
          <w:rFonts w:ascii="等线(中文正文)" w:hAnsi="等线(中文正文)" w:cs="等线(中文正文)" w:eastAsia="等线(中文正文)"/>
          <w:b w:val="false"/>
          <w:i w:val="false"/>
          <w:sz w:val="20"/>
        </w:rPr>
        <w:t>发言人1 答：公司今年在包括铂金恒隆在内的高端商场通过非遗公益馆等形式的门店拓展取得了积极效果，端商场布局的提升体现了公司品牌竞争力的增强。我们认为市场上对于公司今年的盈利预测存在一定程度的低估，预计随着中报或临近中报业绩预告期，业绩预期会有明显修正和上调。公司预计在去年七十多亿利润的基础上，今年希望实现20%到30%的利润增长，目前估值大约在8到9倍，有明确的业绩上修和估值修复空间。</w:t>
      </w:r>
    </w:p>
    <w:p>
      <w:r>
        <w:rPr>
          <w:rFonts w:ascii="等线(中文正文)" w:hAnsi="等线(中文正文)" w:cs="等线(中文正文)" w:eastAsia="等线(中文正文)"/>
          <w:b w:val="false"/>
          <w:i w:val="false"/>
          <w:sz w:val="20"/>
        </w:rPr>
        <w:t/>
      </w:r>
    </w:p>
    <w:p>
      <w:pPr>
        <w:pStyle w:val="ab"/>
      </w:pPr>
      <w:r>
        <w:t>发言人1 问：除了高端黄金和市场环境外，在投资方面还有哪些好的方向？母婴零售板块近期有何变化？</w:t>
      </w:r>
    </w:p>
    <w:p>
      <w:r>
        <w:rPr>
          <w:rFonts w:ascii="等线(中文正文)" w:hAnsi="等线(中文正文)" w:cs="等线(中文正文)" w:eastAsia="等线(中文正文)"/>
          <w:b w:val="false"/>
          <w:i w:val="false"/>
          <w:sz w:val="20"/>
        </w:rPr>
        <w:t>发言人1 答：除了高端黄金，我们一直认为煌投资金是一个较好的投资方向，代表性标的为菜板。此外，我们重点看好美户（双商品）板块，特别是高端品牌和功效型护肤品的销售，这与中医策略中的功效高端加情绪理念相吻合。在此背景下，具备功效验证的国货美妆品牌如巨子、珀莱雅、博泰尼等在618大促中有明显催化机会。近期母婴零售板块有所变化，以爱婴室为例，公司在五月份宣布放开加盟，这是公司从上市以来坚持直营模式下的重要转变。头部企业在行业整合中具备低成本机会，并通过打磨单位模型、自有品牌建立和供应链资源获取，开始具备对外输出供应链资源的能力，有望实现业务增量和行业整合提效。</w:t>
      </w:r>
    </w:p>
    <w:p>
      <w:r>
        <w:rPr>
          <w:rFonts w:ascii="等线(中文正文)" w:hAnsi="等线(中文正文)" w:cs="等线(中文正文)" w:eastAsia="等线(中文正文)"/>
          <w:b w:val="false"/>
          <w:i w:val="false"/>
          <w:sz w:val="20"/>
        </w:rPr>
        <w:t/>
      </w:r>
    </w:p>
    <w:p>
      <w:pPr>
        <w:pStyle w:val="ab"/>
      </w:pPr>
      <w:r>
        <w:t>发言人1 问：医美消费领域是否有可能受益于牛市带来的财富效应溢出？</w:t>
      </w:r>
    </w:p>
    <w:p>
      <w:r>
        <w:rPr>
          <w:rFonts w:ascii="等线(中文正文)" w:hAnsi="等线(中文正文)" w:cs="等线(中文正文)" w:eastAsia="等线(中文正文)"/>
          <w:b w:val="false"/>
          <w:i w:val="false"/>
          <w:sz w:val="20"/>
        </w:rPr>
        <w:t>发言人1 答：是的，牛市带来的财富效应溢出确实可能带动医美消费，尤其是医美机构端。头部医美机构近期客流回升，考虑到医美核心消费人群的消费韧性，建议重点关注朗姿股份这类龙头公司。</w:t>
      </w:r>
    </w:p>
    <w:p>
      <w:r>
        <w:rPr>
          <w:rFonts w:ascii="等线(中文正文)" w:hAnsi="等线(中文正文)" w:cs="等线(中文正文)" w:eastAsia="等线(中文正文)"/>
          <w:b w:val="false"/>
          <w:i w:val="false"/>
          <w:sz w:val="20"/>
        </w:rPr>
        <w:t/>
      </w:r>
    </w:p>
    <w:p>
      <w:pPr>
        <w:pStyle w:val="ab"/>
      </w:pPr>
      <w:r>
        <w:t>发言人1 问：对于电商板块，目前的情况如何？</w:t>
      </w:r>
    </w:p>
    <w:p>
      <w:r>
        <w:rPr>
          <w:rFonts w:ascii="等线(中文正文)" w:hAnsi="等线(中文正文)" w:cs="等线(中文正文)" w:eastAsia="等线(中文正文)"/>
          <w:b w:val="false"/>
          <w:i w:val="false"/>
          <w:sz w:val="20"/>
        </w:rPr>
        <w:t>发言人1 答：电商板块近期利润修复和释放效应持续，头部公司在一季度表现出色。考虑到库存水平优化带来的经营效率和利润率提升，该板块也是重点持续关注的目标。</w:t>
      </w:r>
    </w:p>
    <w:p>
      <w:r>
        <w:rPr>
          <w:rFonts w:ascii="等线(中文正文)" w:hAnsi="等线(中文正文)" w:cs="等线(中文正文)" w:eastAsia="等线(中文正文)"/>
          <w:b w:val="false"/>
          <w:i w:val="false"/>
          <w:sz w:val="20"/>
        </w:rPr>
        <w:t/>
      </w:r>
    </w:p>
    <w:p>
      <w:pPr>
        <w:pStyle w:val="ab"/>
      </w:pPr>
      <w:r>
        <w:t>发言人1 问：在社会服务大板块中，有哪些细分赛道值得关注？</w:t>
      </w:r>
    </w:p>
    <w:p>
      <w:r>
        <w:rPr>
          <w:rFonts w:ascii="等线(中文正文)" w:hAnsi="等线(中文正文)" w:cs="等线(中文正文)" w:eastAsia="等线(中文正文)"/>
          <w:b w:val="false"/>
          <w:i w:val="false"/>
          <w:sz w:val="20"/>
        </w:rPr>
        <w:t>发言人1 答：社会服务大板块中，酒店、餐饮等领域边际上有一定恢复。关注客流回暖和平价餐饮需求以及龙头公司的份额提升；教育赛道中，AI渗透赋能加速带来细分赛道的机会，如长白山、参旅旅游、中医类等公司值得关注。</w:t>
      </w:r>
    </w:p>
    <w:p>
      <w:r>
        <w:rPr>
          <w:rFonts w:ascii="等线(中文正文)" w:hAnsi="等线(中文正文)" w:cs="等线(中文正文)" w:eastAsia="等线(中文正文)"/>
          <w:b w:val="false"/>
          <w:i w:val="false"/>
          <w:sz w:val="20"/>
        </w:rPr>
        <w:t/>
      </w:r>
    </w:p>
    <w:p>
      <w:pPr>
        <w:pStyle w:val="ab"/>
      </w:pPr>
      <w:r>
        <w:t>发言人1 问：食品板块当前处于什么样的状态？</w:t>
      </w:r>
    </w:p>
    <w:p>
      <w:r>
        <w:rPr>
          <w:rFonts w:ascii="等线(中文正文)" w:hAnsi="等线(中文正文)" w:cs="等线(中文正文)" w:eastAsia="等线(中文正文)"/>
          <w:b w:val="false"/>
          <w:i w:val="false"/>
          <w:sz w:val="20"/>
        </w:rPr>
        <w:t>发言人1 答：食品板块当前底部特征明显，市场资金开始调仓转向低估值安全边际更高的板块。白酒和大众品板块估值优势明显，基本面企稳回暖，特别是白酒板块经历阵痛期后，价格体系逐渐企稳，估值处于历史低位，是当前首选配置对象。大众品方面，受益于低基数效应和餐饮复苏，预计会迎来业绩和估值同步修复的行情。</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2026-05-31T15:10:27Z</dcterms:created>
  <dc:creator>Apache POI</dc:creator>
</cp:coreProperties>
</file>