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中国银河证券丨6月金股组合会议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A股市场 科技主线 震荡分化 防御配置 科技景气 产业趋势 有色金属 电解铝 库存去化 天山铝业 产业链一体化 出口需求 新能源 消费领域。 陕西煤业 煤炭价格 市场煤价 产能 风险 迎峰度夏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银河证券分析师团队对六月份市场进行深入分析，指出A股正处震荡分化加速期，科技主线资金分歧增大，市场交易拥挤度高，预计转向与内部分化并存。各行业分析师随后分享了各自的市场判断和金股推荐。其中，有色金属分析师看好电解铝出口与库存去化对价格的正面影响，推荐天山铝业；煤炭分析师强调煤价上涨预期及陕西煤业的估值优势；化工分析师看好国恩股份在产业升级与新材料开发的前景。电信、机械、通信、家电、房地产等行业分析师亦从行业动态、公司基本面及市场潜力出发，推荐了相应金股，综合评估了估值、业绩预测与投资逻辑，为投资者提供了多元且深入的投资分析与策略建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A股六月市场展望与金股推荐逻辑</w:t>
      </w:r>
    </w:p>
    <w:p>
      <w:r>
        <w:rPr>
          <w:rFonts w:ascii="等线(中文正文)" w:hAnsi="等线(中文正文)" w:cs="等线(中文正文)" w:eastAsia="等线(中文正文)"/>
          <w:b w:val="false"/>
          <w:i w:val="false"/>
          <w:sz w:val="20"/>
        </w:rPr>
        <w:t>A股市场预计进入震荡整固阶段，科技主线资金分歧加大，市场交易拥挤度高，存在资金转向可能。六月市场风格可能切换，建议关注前期超跌的高景气板块。外部风险多空参半，美伊谈判影响原油价格，美国通胀高企。政策空窗期，关注六网政策布局与城市更新带来的机会。宏观经济结构分化，高新技术与高端制造持续发力，但内需修复缓慢。流动性方面，海外风险偏好压制减弱，但非美货币股市受压，需关注产业景气预期与结构性博弈行情。</w:t>
      </w:r>
    </w:p>
    <w:p>
      <w:r>
        <w:rPr>
          <w:rFonts w:ascii="等线(中文正文)" w:hAnsi="等线(中文正文)" w:cs="等线(中文正文)" w:eastAsia="等线(中文正文)"/>
          <w:b w:val="false"/>
          <w:i w:val="false"/>
          <w:sz w:val="20"/>
        </w:rPr>
        <w:t/>
      </w:r>
    </w:p>
    <w:p>
      <w:pPr>
        <w:pStyle w:val="ab"/>
        <w:numPr>
          <w:numId w:val="2"/>
        </w:numPr>
      </w:pPr>
      <w:r>
        <w:t>05:57 市场策略与金股推荐：科技聚焦与防御配置并重</w:t>
      </w:r>
    </w:p>
    <w:p>
      <w:r>
        <w:rPr>
          <w:rFonts w:ascii="等线(中文正文)" w:hAnsi="等线(中文正文)" w:cs="等线(中文正文)" w:eastAsia="等线(中文正文)"/>
          <w:b w:val="false"/>
          <w:i w:val="false"/>
          <w:sz w:val="20"/>
        </w:rPr>
        <w:t>讨论了未来一个月市场的高景气与高集中度博弈，提出了科技聚焦加防御配置的均衡布局策略。核心关注点包括受益于涨价与业绩修复的板块，防御性底仓配置价值，以及科技景气与产业趋势下的龙头与持续收益方向。同时，消费领域受益于景气修复与政策支持，推荐关注低估值板块。最后，行业分析师将分享六月金股推荐及其逻辑。</w:t>
      </w:r>
    </w:p>
    <w:p>
      <w:r>
        <w:rPr>
          <w:rFonts w:ascii="等线(中文正文)" w:hAnsi="等线(中文正文)" w:cs="等线(中文正文)" w:eastAsia="等线(中文正文)"/>
          <w:b w:val="false"/>
          <w:i w:val="false"/>
          <w:sz w:val="20"/>
        </w:rPr>
        <w:t/>
      </w:r>
    </w:p>
    <w:p>
      <w:pPr>
        <w:pStyle w:val="ab"/>
        <w:numPr>
          <w:numId w:val="3"/>
        </w:numPr>
      </w:pPr>
      <w:r>
        <w:t>08:33 电解铝行业出口拉动与价格趋势分析</w:t>
      </w:r>
    </w:p>
    <w:p>
      <w:r>
        <w:rPr>
          <w:rFonts w:ascii="等线(中文正文)" w:hAnsi="等线(中文正文)" w:cs="等线(中文正文)" w:eastAsia="等线(中文正文)"/>
          <w:b w:val="false"/>
          <w:i w:val="false"/>
          <w:sz w:val="20"/>
        </w:rPr>
        <w:t>报告指出，由于中东冲突导致的电解铝产能减少，海外电解铝供应紧缺，推动了国内电解铝出口需求的增长，进而带动库存去化和铝价上涨。预计6月至7月出口订单将持续增长，国内电解铝行业利润有望增强。</w:t>
      </w:r>
    </w:p>
    <w:p>
      <w:r>
        <w:rPr>
          <w:rFonts w:ascii="等线(中文正文)" w:hAnsi="等线(中文正文)" w:cs="等线(中文正文)" w:eastAsia="等线(中文正文)"/>
          <w:b w:val="false"/>
          <w:i w:val="false"/>
          <w:sz w:val="20"/>
        </w:rPr>
        <w:t/>
      </w:r>
    </w:p>
    <w:p>
      <w:pPr>
        <w:pStyle w:val="ab"/>
        <w:numPr>
          <w:numId w:val="4"/>
        </w:numPr>
      </w:pPr>
      <w:r>
        <w:t>14:04 天山铝业全产业链优势与业绩展望</w:t>
      </w:r>
    </w:p>
    <w:p>
      <w:r>
        <w:rPr>
          <w:rFonts w:ascii="等线(中文正文)" w:hAnsi="等线(中文正文)" w:cs="等线(中文正文)" w:eastAsia="等线(中文正文)"/>
          <w:b w:val="false"/>
          <w:i w:val="false"/>
          <w:sz w:val="20"/>
        </w:rPr>
        <w:t>天山铝业通过上下游一体化布局，拥有铝土矿开采、氧化铝生产、电解铝及高纯铝制造等全产业链优势。公司印尼及几内亚铝土矿项目进展顺利，中游电解铝产能持续提升，下游高纯铝及铝箔深加工产能稳定增长。受益于产业链优势及市场需求增加，公司一季度业绩显著提升，未来三年业绩预计将持续增长，但需关注煤炭价格波动及美联储加息等风险因素。</w:t>
      </w:r>
    </w:p>
    <w:p>
      <w:r>
        <w:rPr>
          <w:rFonts w:ascii="等线(中文正文)" w:hAnsi="等线(中文正文)" w:cs="等线(中文正文)" w:eastAsia="等线(中文正文)"/>
          <w:b w:val="false"/>
          <w:i w:val="false"/>
          <w:sz w:val="20"/>
        </w:rPr>
        <w:t/>
      </w:r>
    </w:p>
    <w:p>
      <w:pPr>
        <w:pStyle w:val="ab"/>
        <w:numPr>
          <w:numId w:val="5"/>
        </w:numPr>
      </w:pPr>
      <w:r>
        <w:t>17:15 2026年煤炭市场展望：供需平衡偏紧，煤价中枢抬升</w:t>
      </w:r>
    </w:p>
    <w:p>
      <w:r>
        <w:rPr>
          <w:rFonts w:ascii="等线(中文正文)" w:hAnsi="等线(中文正文)" w:cs="等线(中文正文)" w:eastAsia="等线(中文正文)"/>
          <w:b w:val="false"/>
          <w:i w:val="false"/>
          <w:sz w:val="20"/>
        </w:rPr>
        <w:t>对话回顾了煤炭价格走势，分析了短期与全年市场煤价趋势。短期来看，6至8月煤价可能维持震荡上行，受煤矿事故、补库需求及港口库存低位影响。全年预测，煤炭供应稳定，进口量减少，需求增加，导致市场供需由宽松转向平衡偏紧，预计秦皇岛5500大卡动力煤价格中枢在800至900元/吨，旺季有望突破1000元/吨。</w:t>
      </w:r>
    </w:p>
    <w:p>
      <w:r>
        <w:rPr>
          <w:rFonts w:ascii="等线(中文正文)" w:hAnsi="等线(中文正文)" w:cs="等线(中文正文)" w:eastAsia="等线(中文正文)"/>
          <w:b w:val="false"/>
          <w:i w:val="false"/>
          <w:sz w:val="20"/>
        </w:rPr>
        <w:t/>
      </w:r>
    </w:p>
    <w:p>
      <w:pPr>
        <w:pStyle w:val="ab"/>
        <w:numPr>
          <w:numId w:val="6"/>
        </w:numPr>
      </w:pPr>
      <w:r>
        <w:t>20:15 陕西煤业煤炭储量与市场表现分析</w:t>
      </w:r>
    </w:p>
    <w:p>
      <w:r>
        <w:rPr>
          <w:rFonts w:ascii="等线(中文正文)" w:hAnsi="等线(中文正文)" w:cs="等线(中文正文)" w:eastAsia="等线(中文正文)"/>
          <w:b w:val="false"/>
          <w:i w:val="false"/>
          <w:sz w:val="20"/>
        </w:rPr>
        <w:t>陕西煤业作为陕西省府的上市媒体，拥有丰富的煤炭储量，可开采年限约70年，煤炭品质优良，90%以上属于优质煤。公司近年来通过新矿投产和收购，煤炭产量和产能持续提升。尽管过去两年受煤价下行影响，自产煤售价降幅较大，但随着市场煤价反弹，预计公司自产煤售价和整体业绩将大幅回升。未来产能有望增加15%，同时存在煤炭价格超预期上涨和产能核增的驱动因素，但需警惕煤炭价格下降、下游需求不及预期及安全事故等风险。</w:t>
      </w:r>
    </w:p>
    <w:p>
      <w:r>
        <w:rPr>
          <w:rFonts w:ascii="等线(中文正文)" w:hAnsi="等线(中文正文)" w:cs="等线(中文正文)" w:eastAsia="等线(中文正文)"/>
          <w:b w:val="false"/>
          <w:i w:val="false"/>
          <w:sz w:val="20"/>
        </w:rPr>
        <w:t/>
      </w:r>
    </w:p>
    <w:p>
      <w:pPr>
        <w:pStyle w:val="ab"/>
        <w:numPr>
          <w:numId w:val="7"/>
        </w:numPr>
      </w:pPr>
      <w:r>
        <w:t>23:41 陕西煤业金股分析：化工与健康业务升级</w:t>
      </w:r>
    </w:p>
    <w:p>
      <w:r>
        <w:rPr>
          <w:rFonts w:ascii="等线(中文正文)" w:hAnsi="等线(中文正文)" w:cs="等线(中文正文)" w:eastAsia="等线(中文正文)"/>
          <w:b w:val="false"/>
          <w:i w:val="false"/>
          <w:sz w:val="20"/>
        </w:rPr>
        <w:t>分享了陕西煤业作为金股的基本盘业务稳健及中长期产业升级潜力，重点分析了化工板块受国际原油价格波动影响的盈利改善，以及大健康板块通过产能提升带来的业务增量，展望公司未来估值提升空间。</w:t>
      </w:r>
    </w:p>
    <w:p>
      <w:r>
        <w:rPr>
          <w:rFonts w:ascii="等线(中文正文)" w:hAnsi="等线(中文正文)" w:cs="等线(中文正文)" w:eastAsia="等线(中文正文)"/>
          <w:b w:val="false"/>
          <w:i w:val="false"/>
          <w:sz w:val="20"/>
        </w:rPr>
        <w:t/>
      </w:r>
    </w:p>
    <w:p>
      <w:pPr>
        <w:pStyle w:val="ab"/>
        <w:numPr>
          <w:numId w:val="8"/>
        </w:numPr>
      </w:pPr>
      <w:r>
        <w:t>26:24 产业升级与多元化发展策略</w:t>
      </w:r>
    </w:p>
    <w:p>
      <w:r>
        <w:rPr>
          <w:rFonts w:ascii="等线(中文正文)" w:hAnsi="等线(中文正文)" w:cs="等线(中文正文)" w:eastAsia="等线(中文正文)"/>
          <w:b w:val="false"/>
          <w:i w:val="false"/>
          <w:sz w:val="20"/>
        </w:rPr>
        <w:t>公司正积极向特种工程材料领域延伸，计划在舟山和青岛基地分别投资建设pick生产线和航空级亚克力玻璃项目，打造一体化供应链。同时，通过子公司全面拓展机器人业务，成功研发多款机器人产品，计划向新材料和聚生智能产业链延伸，推动产业升级转型，并根据行业趋势适时启动储备项目。</w:t>
      </w:r>
    </w:p>
    <w:p>
      <w:r>
        <w:rPr>
          <w:rFonts w:ascii="等线(中文正文)" w:hAnsi="等线(中文正文)" w:cs="等线(中文正文)" w:eastAsia="等线(中文正文)"/>
          <w:b w:val="false"/>
          <w:i w:val="false"/>
          <w:sz w:val="20"/>
        </w:rPr>
        <w:t/>
      </w:r>
    </w:p>
    <w:p>
      <w:pPr>
        <w:pStyle w:val="ab"/>
        <w:numPr>
          <w:numId w:val="9"/>
        </w:numPr>
      </w:pPr>
      <w:r>
        <w:t>28:12 公司业绩增长分析与预测</w:t>
      </w:r>
    </w:p>
    <w:p>
      <w:r>
        <w:rPr>
          <w:rFonts w:ascii="等线(中文正文)" w:hAnsi="等线(中文正文)" w:cs="等线(中文正文)" w:eastAsia="等线(中文正文)"/>
          <w:b w:val="false"/>
          <w:i w:val="false"/>
          <w:sz w:val="20"/>
        </w:rPr>
        <w:t>对话分析了近期上游PS价格和价差走势对中山项目盈利的潜在催化作用，以及国文东明在建项目投产带来的业绩增量。预计2026至2028年公司净利润分别为10.54、12.49和14.69亿元，同比增速分别为25%和10%。</w:t>
      </w:r>
    </w:p>
    <w:p>
      <w:r>
        <w:rPr>
          <w:rFonts w:ascii="等线(中文正文)" w:hAnsi="等线(中文正文)" w:cs="等线(中文正文)" w:eastAsia="等线(中文正文)"/>
          <w:b w:val="false"/>
          <w:i w:val="false"/>
          <w:sz w:val="20"/>
        </w:rPr>
        <w:t/>
      </w:r>
    </w:p>
    <w:p>
      <w:pPr>
        <w:pStyle w:val="ab"/>
        <w:numPr>
          <w:numId w:val="10"/>
        </w:numPr>
      </w:pPr>
      <w:r>
        <w:t>28:49 电子玻纤布市场供需紧张推动价格上涨</w:t>
      </w:r>
    </w:p>
    <w:p>
      <w:r>
        <w:rPr>
          <w:rFonts w:ascii="等线(中文正文)" w:hAnsi="等线(中文正文)" w:cs="等线(中文正文)" w:eastAsia="等线(中文正文)"/>
          <w:b w:val="false"/>
          <w:i w:val="false"/>
          <w:sz w:val="20"/>
        </w:rPr>
        <w:t>报告指出，由于全球电子信息产业的快速发展，特别是AI服务器、5G基站及数据中心交换机等终端产品的技术迭代，对信号传输速度和稳定性提出更高要求，驱动了电子玻纤布需求激增。然而，特种玻纤布生产技术壁垒高，织布机短缺导致供给不足，引发价格快速上涨。普通电子部亦受此影响，厂商转产高端产品，加剧了全品类供应紧张。截至5月底，7628型号电子部年内累计涨幅超50%，预计短期内供不应求局面将持续，价格仍有上涨预期。</w:t>
      </w:r>
    </w:p>
    <w:p>
      <w:r>
        <w:rPr>
          <w:rFonts w:ascii="等线(中文正文)" w:hAnsi="等线(中文正文)" w:cs="等线(中文正文)" w:eastAsia="等线(中文正文)"/>
          <w:b w:val="false"/>
          <w:i w:val="false"/>
          <w:sz w:val="20"/>
        </w:rPr>
        <w:t/>
      </w:r>
    </w:p>
    <w:p>
      <w:pPr>
        <w:pStyle w:val="ab"/>
        <w:numPr>
          <w:numId w:val="11"/>
        </w:numPr>
      </w:pPr>
      <w:r>
        <w:t>33:01 中国巨石：电子部产能优势与新产能放量驱动业绩增长</w:t>
      </w:r>
    </w:p>
    <w:p>
      <w:r>
        <w:rPr>
          <w:rFonts w:ascii="等线(中文正文)" w:hAnsi="等线(中文正文)" w:cs="等线(中文正文)" w:eastAsia="等线(中文正文)"/>
          <w:b w:val="false"/>
          <w:i w:val="false"/>
          <w:sz w:val="20"/>
        </w:rPr>
        <w:t>中国巨石作为全球光纤龙头企业，其7628型号电子部产能规模居全球首位，受益于规模效应，成本优势显著。预计2026年一季度后，公司毛利率将持续上涨，主要驱动因素包括短期电子服务市场供应紧缺导致的普通电子布价格上涨，以及新产能放量带来的高附加值产品占比提升。预计2026至2028年，公司归母净利润将分别达到61亿、69亿及74亿，同比增长分别为87%、12%、8%。</w:t>
      </w:r>
    </w:p>
    <w:p>
      <w:r>
        <w:rPr>
          <w:rFonts w:ascii="等线(中文正文)" w:hAnsi="等线(中文正文)" w:cs="等线(中文正文)" w:eastAsia="等线(中文正文)"/>
          <w:b w:val="false"/>
          <w:i w:val="false"/>
          <w:sz w:val="20"/>
        </w:rPr>
        <w:t/>
      </w:r>
    </w:p>
    <w:p>
      <w:pPr>
        <w:pStyle w:val="ab"/>
        <w:numPr>
          <w:numId w:val="12"/>
        </w:numPr>
      </w:pPr>
      <w:r>
        <w:t>35:18 中国巨石与海伦哲：风险分析与储能消防新业务展望</w:t>
      </w:r>
    </w:p>
    <w:p>
      <w:r>
        <w:rPr>
          <w:rFonts w:ascii="等线(中文正文)" w:hAnsi="等线(中文正文)" w:cs="等线(中文正文)" w:eastAsia="等线(中文正文)"/>
          <w:b w:val="false"/>
          <w:i w:val="false"/>
          <w:sz w:val="20"/>
        </w:rPr>
        <w:t>报告分析了中国巨石面临的下游需求、原材料价格波动、新产品研发及产能释放等风险，同时介绍了海伦哲在储能消防领域的增长潜力，包括收购吉安顿带来的技术与市场优势，以及双方协同发展的前景。</w:t>
      </w:r>
    </w:p>
    <w:p>
      <w:r>
        <w:rPr>
          <w:rFonts w:ascii="等线(中文正文)" w:hAnsi="等线(中文正文)" w:cs="等线(中文正文)" w:eastAsia="等线(中文正文)"/>
          <w:b w:val="false"/>
          <w:i w:val="false"/>
          <w:sz w:val="20"/>
        </w:rPr>
        <w:t/>
      </w:r>
    </w:p>
    <w:p>
      <w:pPr>
        <w:pStyle w:val="ab"/>
        <w:numPr>
          <w:numId w:val="13"/>
        </w:numPr>
      </w:pPr>
      <w:r>
        <w:t>40:44 吉安顿公司业务与估值分析</w:t>
      </w:r>
    </w:p>
    <w:p>
      <w:r>
        <w:rPr>
          <w:rFonts w:ascii="等线(中文正文)" w:hAnsi="等线(中文正文)" w:cs="等线(中文正文)" w:eastAsia="等线(中文正文)"/>
          <w:b w:val="false"/>
          <w:i w:val="false"/>
          <w:sz w:val="20"/>
        </w:rPr>
        <w:t>对话讨论了吉安顿公司市场扩容、技术能力、业绩承诺及业务增长，特别关注传统车辆业务与新储能消防业务的收入预测，2026至2028年收入分别预估为24.1亿、28.1亿和32.1亿，净利润分别为4.97亿、6.15亿和7.44亿。通过与三一重工等公司对比，给予2026年38到42倍估值区间，合理市值区间为240亿到260亿，绝对估值法下美股合理估值区间为24.8到37.3元。</w:t>
      </w:r>
    </w:p>
    <w:p>
      <w:r>
        <w:rPr>
          <w:rFonts w:ascii="等线(中文正文)" w:hAnsi="等线(中文正文)" w:cs="等线(中文正文)" w:eastAsia="等线(中文正文)"/>
          <w:b w:val="false"/>
          <w:i w:val="false"/>
          <w:sz w:val="20"/>
        </w:rPr>
        <w:t/>
      </w:r>
    </w:p>
    <w:p>
      <w:pPr>
        <w:pStyle w:val="ab"/>
        <w:numPr>
          <w:numId w:val="14"/>
        </w:numPr>
      </w:pPr>
      <w:r>
        <w:t>43:52 金盛机电：光伏与碳化硅双轮驱动，业绩展望乐观</w:t>
      </w:r>
    </w:p>
    <w:p>
      <w:r>
        <w:rPr>
          <w:rFonts w:ascii="等线(中文正文)" w:hAnsi="等线(中文正文)" w:cs="等线(中文正文)" w:eastAsia="等线(中文正文)"/>
          <w:b w:val="false"/>
          <w:i w:val="false"/>
          <w:sz w:val="20"/>
        </w:rPr>
        <w:t>汇报聚焦于金盛机电，分析其在光伏行业与碳化硅半导体领域的表现与前景。光伏行业虽处下行周期，但新技术与海外市场带来希望；碳化硅需求旺盛，尤其在新能源汽车与AI领域。金盛机电作为技术平台型企业，产品涵盖光伏、集成电路等多个领域，单晶炉市场占有率领先，尽管面临行业下行压力，但其布局广泛，业绩增长潜力大。</w:t>
      </w:r>
    </w:p>
    <w:p>
      <w:r>
        <w:rPr>
          <w:rFonts w:ascii="等线(中文正文)" w:hAnsi="等线(中文正文)" w:cs="等线(中文正文)" w:eastAsia="等线(中文正文)"/>
          <w:b w:val="false"/>
          <w:i w:val="false"/>
          <w:sz w:val="20"/>
        </w:rPr>
        <w:t/>
      </w:r>
    </w:p>
    <w:p>
      <w:pPr>
        <w:pStyle w:val="ab"/>
        <w:numPr>
          <w:numId w:val="15"/>
        </w:numPr>
      </w:pPr>
      <w:r>
        <w:t>47:16 半导体与光伏行业公司业务转型分析</w:t>
      </w:r>
    </w:p>
    <w:p>
      <w:r>
        <w:rPr>
          <w:rFonts w:ascii="等线(中文正文)" w:hAnsi="等线(中文正文)" w:cs="等线(中文正文)" w:eastAsia="等线(中文正文)"/>
          <w:b w:val="false"/>
          <w:i w:val="false"/>
          <w:sz w:val="20"/>
        </w:rPr>
        <w:t>公司从光伏设备龙头转向半导体设备与材料供应商，尽管光伏行业自2024年起深度调整导致营收利润承压，但半导体业务，特别是碳化硅领域，展现出强劲增长潜力。2025年底未完成合同超37亿，保障后续收入。公司自主研发的半导体设备性能达国际先进水平，碳化硅衬底片产能提升，海外布局产能。预计26-28年净利润分别为10亿、12亿及14亿，PE分别为54倍、45倍和40倍，看好碳化硅周期反转与半导体业务接力成长。</w:t>
      </w:r>
    </w:p>
    <w:p>
      <w:r>
        <w:rPr>
          <w:rFonts w:ascii="等线(中文正文)" w:hAnsi="等线(中文正文)" w:cs="等线(中文正文)" w:eastAsia="等线(中文正文)"/>
          <w:b w:val="false"/>
          <w:i w:val="false"/>
          <w:sz w:val="20"/>
        </w:rPr>
        <w:t/>
      </w:r>
    </w:p>
    <w:p>
      <w:pPr>
        <w:pStyle w:val="ab"/>
        <w:numPr>
          <w:numId w:val="16"/>
        </w:numPr>
      </w:pPr>
      <w:r>
        <w:t>52:44 全球光模块行业前景与龙头企业推荐</w:t>
      </w:r>
    </w:p>
    <w:p>
      <w:r>
        <w:rPr>
          <w:rFonts w:ascii="等线(中文正文)" w:hAnsi="等线(中文正文)" w:cs="等线(中文正文)" w:eastAsia="等线(中文正文)"/>
          <w:b w:val="false"/>
          <w:i w:val="false"/>
          <w:sz w:val="20"/>
        </w:rPr>
        <w:t>分析了光模块行业2026至2027年的市场增长潜力，重点讨论了800G和1.6T光模块的出货量及毛利率提升，以及原材料紧缺对价格的影响。强调了作为全球龙头企业的中期创将优先受益于量价双升的市场环境，特别是在3.2T光模块批量出货后。推荐全球光模块龙头企业中期创，基于其财务状况、治理水平及市场预期的乐观前景。</w:t>
      </w:r>
    </w:p>
    <w:p>
      <w:r>
        <w:rPr>
          <w:rFonts w:ascii="等线(中文正文)" w:hAnsi="等线(中文正文)" w:cs="等线(中文正文)" w:eastAsia="等线(中文正文)"/>
          <w:b w:val="false"/>
          <w:i w:val="false"/>
          <w:sz w:val="20"/>
        </w:rPr>
        <w:t/>
      </w:r>
    </w:p>
    <w:p>
      <w:pPr>
        <w:pStyle w:val="ab"/>
        <w:numPr>
          <w:numId w:val="17"/>
        </w:numPr>
      </w:pPr>
      <w:r>
        <w:t>57:42 电子团队金股推荐：创新科技存储业务前景看好</w:t>
      </w:r>
    </w:p>
    <w:p>
      <w:r>
        <w:rPr>
          <w:rFonts w:ascii="等线(中文正文)" w:hAnsi="等线(中文正文)" w:cs="等线(中文正文)" w:eastAsia="等线(中文正文)"/>
          <w:b w:val="false"/>
          <w:i w:val="false"/>
          <w:sz w:val="20"/>
        </w:rPr>
        <w:t>电子团队推荐创新科技为本月金股，核心逻辑基于存储价格持续高震荡及未来上行空间大。公司为国内半导体龙头，主营存储和MCU，存储器领域全球份额领先，DRAM领域逐步拓展，长期采购协议金额翻倍。存储价格走势显示高频产品价格持续增长，AI需求推动价格上行趋势，预计公司业绩将持续增长，估值便宜，未来增长空间大。</w:t>
      </w:r>
    </w:p>
    <w:p>
      <w:r>
        <w:rPr>
          <w:rFonts w:ascii="等线(中文正文)" w:hAnsi="等线(中文正文)" w:cs="等线(中文正文)" w:eastAsia="等线(中文正文)"/>
          <w:b w:val="false"/>
          <w:i w:val="false"/>
          <w:sz w:val="20"/>
        </w:rPr>
        <w:t/>
      </w:r>
    </w:p>
    <w:p>
      <w:pPr>
        <w:pStyle w:val="ab"/>
        <w:numPr>
          <w:numId w:val="18"/>
        </w:numPr>
      </w:pPr>
      <w:r>
        <w:t>01:02:39 绿联充电宝与智能存储业务快速增长分析</w:t>
      </w:r>
    </w:p>
    <w:p>
      <w:r>
        <w:rPr>
          <w:rFonts w:ascii="等线(中文正文)" w:hAnsi="等线(中文正文)" w:cs="等线(中文正文)" w:eastAsia="等线(中文正文)"/>
          <w:b w:val="false"/>
          <w:i w:val="false"/>
          <w:sz w:val="20"/>
        </w:rPr>
        <w:t>对话讨论了绿联充电宝业务因政策变化和产品升级实现快速增长，海外市场拓展加速，智能存储业务受益于AI技术创新，预计未来几年收入与利润将持续增长。</w:t>
      </w:r>
    </w:p>
    <w:p>
      <w:r>
        <w:rPr>
          <w:rFonts w:ascii="等线(中文正文)" w:hAnsi="等线(中文正文)" w:cs="等线(中文正文)" w:eastAsia="等线(中文正文)"/>
          <w:b w:val="false"/>
          <w:i w:val="false"/>
          <w:sz w:val="20"/>
        </w:rPr>
        <w:t/>
      </w:r>
    </w:p>
    <w:p>
      <w:pPr>
        <w:pStyle w:val="ab"/>
        <w:numPr>
          <w:numId w:val="19"/>
        </w:numPr>
      </w:pPr>
      <w:r>
        <w:t>01:09:39 华润置地：三大业务驱动稳健增长，经营性不动产业务亮眼</w:t>
      </w:r>
    </w:p>
    <w:p>
      <w:r>
        <w:rPr>
          <w:rFonts w:ascii="等线(中文正文)" w:hAnsi="等线(中文正文)" w:cs="等线(中文正文)" w:eastAsia="等线(中文正文)"/>
          <w:b w:val="false"/>
          <w:i w:val="false"/>
          <w:sz w:val="20"/>
        </w:rPr>
        <w:t>华润置地作为行业前三的开发商，其三大业务——开发销售、经营性不动产和净资产管理业务表现稳健。2025年营收虽仅微增，但经营性业务贡献的核心净利润占比过半，尤其购物中心业务表现突出，出租率高，毛利率达77%。公司现有98座在营购物中心，未来储备充足，预计新增30座，布局于北京、上海等高能级城市，展现出强大的增长潜力。</w:t>
      </w:r>
    </w:p>
    <w:p>
      <w:r>
        <w:rPr>
          <w:rFonts w:ascii="等线(中文正文)" w:hAnsi="等线(中文正文)" w:cs="等线(中文正文)" w:eastAsia="等线(中文正文)"/>
          <w:b w:val="false"/>
          <w:i w:val="false"/>
          <w:sz w:val="20"/>
        </w:rPr>
        <w:t/>
      </w:r>
    </w:p>
    <w:p>
      <w:pPr>
        <w:pStyle w:val="ab"/>
        <w:numPr>
          <w:numId w:val="20"/>
        </w:numPr>
      </w:pPr>
      <w:r>
        <w:t>01:15:58 华润置地多元化业务发展与高质量拿地策略</w:t>
      </w:r>
    </w:p>
    <w:p>
      <w:r>
        <w:rPr>
          <w:rFonts w:ascii="等线(中文正文)" w:hAnsi="等线(中文正文)" w:cs="等线(中文正文)" w:eastAsia="等线(中文正文)"/>
          <w:b w:val="false"/>
          <w:i w:val="false"/>
          <w:sz w:val="20"/>
        </w:rPr>
        <w:t>华润置地作为行业前三的公司，其核心净利润超半数来自非开发业务，但开发业务仍贡献显著营收。公司聚焦核心城市高质拿地，提升销售均价，增强盈利能力。2025年新增33地块，楼面价超销售均价，显示积极稳健的投资策略。此外，商管、物管及文体运营等多元化业务发展良好，共同支撑公司高质量发展，行业地位稳固，推荐价值高。</w:t>
      </w:r>
    </w:p>
    <w:p>
      <w:r>
        <w:rPr>
          <w:rFonts w:ascii="等线(中文正文)" w:hAnsi="等线(中文正文)" w:cs="等线(中文正文)" w:eastAsia="等线(中文正文)"/>
          <w:b w:val="false"/>
          <w:i w:val="false"/>
          <w:sz w:val="20"/>
        </w:rPr>
        <w:t/>
      </w:r>
    </w:p>
    <w:p>
      <w:pPr>
        <w:pStyle w:val="a7"/>
      </w:pPr>
      <w:r>
        <w:t>发言总结</w:t>
      </w:r>
    </w:p>
    <w:p>
      <w:pPr>
        <w:pStyle w:val="ab"/>
        <w:numPr>
          <w:numId w:val="21"/>
        </w:numPr>
      </w:pPr>
      <w:r>
        <w:t>发言人1</w:t>
      </w:r>
    </w:p>
    <w:p>
      <w:r>
        <w:rPr>
          <w:rFonts w:ascii="等线(中文正文)" w:hAnsi="等线(中文正文)" w:cs="等线(中文正文)" w:eastAsia="等线(中文正文)"/>
          <w:b w:val="false"/>
          <w:i w:val="false"/>
          <w:sz w:val="20"/>
        </w:rPr>
        <w:t>首先介绍了华润置地的发展情况，包括2025年的销售规模为922万方、销售金额2330亿以上，尽管市场整体下行，但销售均价达到25335元/平方米，同比增长。他指出华润置地通过聚焦核心城市、提高拿地质量来实现销售价格的上行，提升了毛利率和盈利能力。此外，华润置地在投资和拿地上保持稳健，新增33个地块，楼面价高达27000元/平方米，超出销售均价。他还提到华润置地通过多元化发展，如华润万象、文体运营、租赁住房等业务，形成稳定的增长曲线。基于这些业务的有机联动和市场地位，他对华润置地持积极推荐态度。之后，他转而讨论了A股市场六月份的整体判断，指出市场正处于震荡分化加速的阶段，建议均衡布局，关注高景气和集中度博弈，中期关注科技聚焦及防御配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问：在操作层面，六月份的投资策略是什么样的？</w:t>
      </w:r>
    </w:p>
    <w:p>
      <w:r>
        <w:rPr>
          <w:rFonts w:ascii="等线(中文正文)" w:hAnsi="等线(中文正文)" w:cs="等线(中文正文)" w:eastAsia="等线(中文正文)"/>
          <w:b w:val="false"/>
          <w:i w:val="false"/>
          <w:sz w:val="20"/>
        </w:rPr>
        <w:t>发言人1 答：操作上，未来一个月以高景气和高集中度的博弈为主，中短期可采取科技聚焦与防御配置均衡布局策略。关注三条主线：一是估值和业绩修复逻辑，包括受益于涨价和业绩修复的有色金属、化工、石油石化、建筑材料和钢铁板块；二是防御性底仓配置价值，关注煤炭、煤化工、银行、公用事业以及新能源等板块；三是科技景气与产业趋势结合，关注订单需求旺盛、业绩预期能兑现的半导体、电子、通讯设备、算力存储等板块，以及商业航天、人形机器人、电力设备储能等调整后的前期经历过调整的板块。</w:t>
      </w:r>
    </w:p>
    <w:p>
      <w:r>
        <w:rPr>
          <w:rFonts w:ascii="等线(中文正文)" w:hAnsi="等线(中文正文)" w:cs="等线(中文正文)" w:eastAsia="等线(中文正文)"/>
          <w:b w:val="false"/>
          <w:i w:val="false"/>
          <w:sz w:val="20"/>
        </w:rPr>
        <w:t/>
      </w:r>
    </w:p>
    <w:p>
      <w:pPr>
        <w:pStyle w:val="ab"/>
      </w:pPr>
      <w:r>
        <w:t>发言人1 问：有色团队对六月份电解铝行业的看法如何？</w:t>
      </w:r>
    </w:p>
    <w:p>
      <w:r>
        <w:rPr>
          <w:rFonts w:ascii="等线(中文正文)" w:hAnsi="等线(中文正文)" w:cs="等线(中文正文)" w:eastAsia="等线(中文正文)"/>
          <w:b w:val="false"/>
          <w:i w:val="false"/>
          <w:sz w:val="20"/>
        </w:rPr>
        <w:t>发言人1 答：六月份看好电解铝行业，由于国内电解铝出口拉动强烈，库存去化将支撑锂价上涨。中东地区因冲突导致电解铝产能大幅减少，预计今年海外电解铝产量可能会出现负增长，海外供应紧缺状况加剧。强劲的出口需求拉动下，国内铝价有望继续走高，并带动电解铝行业利润增强。天山铝业作为全产业链一体化的企业，受益于产能升级和绿色低碳改造，其业绩有望进一步提升。</w:t>
      </w:r>
    </w:p>
    <w:p>
      <w:r>
        <w:rPr>
          <w:rFonts w:ascii="等线(中文正文)" w:hAnsi="等线(中文正文)" w:cs="等线(中文正文)" w:eastAsia="等线(中文正文)"/>
          <w:b w:val="false"/>
          <w:i w:val="false"/>
          <w:sz w:val="20"/>
        </w:rPr>
        <w:t/>
      </w:r>
    </w:p>
    <w:p>
      <w:pPr>
        <w:pStyle w:val="ab"/>
      </w:pPr>
      <w:r>
        <w:t>发言人1 问：公司今年一季度的业绩情况如何？六月份公司股价的主要驱动因素是什么？</w:t>
      </w:r>
    </w:p>
    <w:p>
      <w:r>
        <w:rPr>
          <w:rFonts w:ascii="等线(中文正文)" w:hAnsi="等线(中文正文)" w:cs="等线(中文正文)" w:eastAsia="等线(中文正文)"/>
          <w:b w:val="false"/>
          <w:i w:val="false"/>
          <w:sz w:val="20"/>
        </w:rPr>
        <w:t>发言人1 答：今年一季度公司实现规模22.19亿元，同比增110%，产业链一体化优势明显，能有效消化上游氯化物质。六月份可能会受到绿化出口配额政策的影响，但随着国内电流与社会库存减少、资本上行以及电解铝新增产能释放，公司业绩有望进一步提升。六月份公司股价的主要驱动因素包括国内电解铝社会库存去化、电解铝价格的上涨、停战进程推进以及旅行价格的上涨，以及公司自身新增产能逐步释放。</w:t>
      </w:r>
    </w:p>
    <w:p>
      <w:r>
        <w:rPr>
          <w:rFonts w:ascii="等线(中文正文)" w:hAnsi="等线(中文正文)" w:cs="等线(中文正文)" w:eastAsia="等线(中文正文)"/>
          <w:b w:val="false"/>
          <w:i w:val="false"/>
          <w:sz w:val="20"/>
        </w:rPr>
        <w:t/>
      </w:r>
    </w:p>
    <w:p>
      <w:pPr>
        <w:pStyle w:val="ab"/>
      </w:pPr>
      <w:r>
        <w:t>发言人1 问：当前及未来市场煤价走势如何？</w:t>
      </w:r>
    </w:p>
    <w:p>
      <w:r>
        <w:rPr>
          <w:rFonts w:ascii="等线(中文正文)" w:hAnsi="等线(中文正文)" w:cs="等线(中文正文)" w:eastAsia="等线(中文正文)"/>
          <w:b w:val="false"/>
          <w:i w:val="false"/>
          <w:sz w:val="20"/>
        </w:rPr>
        <w:t>发言人1 答：2026年以来市场煤价持续上涨，特别是迎峰度夏旺季期间煤价大概率将维持震荡上行格局，核心支撑来自山西煤矿事故导致炼焦煤供给收缩、迎峰度夏补库需求提前释放以及港口库存低位和优质煤结构性偏紧。全年来看，反内卷政策约束了国内产量，进口下滑且需求增长，预计市场供需将从去年宽松转向平衡偏紧，煤价中枢有望整体抬升至800到900元每吨。</w:t>
      </w:r>
    </w:p>
    <w:p>
      <w:r>
        <w:rPr>
          <w:rFonts w:ascii="等线(中文正文)" w:hAnsi="等线(中文正文)" w:cs="等线(中文正文)" w:eastAsia="等线(中文正文)"/>
          <w:b w:val="false"/>
          <w:i w:val="false"/>
          <w:sz w:val="20"/>
        </w:rPr>
        <w:t/>
      </w:r>
    </w:p>
    <w:p>
      <w:pPr>
        <w:pStyle w:val="ab"/>
      </w:pPr>
      <w:r>
        <w:t>发言人1 问：陕西煤业的基本情况及未来展望是怎样的？</w:t>
      </w:r>
    </w:p>
    <w:p>
      <w:r>
        <w:rPr>
          <w:rFonts w:ascii="等线(中文正文)" w:hAnsi="等线(中文正文)" w:cs="等线(中文正文)" w:eastAsia="等线(中文正文)"/>
          <w:b w:val="false"/>
          <w:i w:val="false"/>
          <w:sz w:val="20"/>
        </w:rPr>
        <w:t>发言人1 答：陕西煤业是陕西省属上市公司，拥有丰富的煤炭储量和优质煤资源，已形成煤电一体化布局以平滑煤炭价格波动对公司业绩的影响。近年来，公司煤炭产量和产能逐年提升，且未来有新增产能投产的预期。在当前市场煤价上涨趋势下，公司自产煤售价和整体业绩有望大幅回升。</w:t>
      </w:r>
    </w:p>
    <w:p>
      <w:r>
        <w:rPr>
          <w:rFonts w:ascii="等线(中文正文)" w:hAnsi="等线(中文正文)" w:cs="等线(中文正文)" w:eastAsia="等线(中文正文)"/>
          <w:b w:val="false"/>
          <w:i w:val="false"/>
          <w:sz w:val="20"/>
        </w:rPr>
        <w:t/>
      </w:r>
    </w:p>
    <w:p>
      <w:pPr>
        <w:pStyle w:val="ab"/>
      </w:pPr>
      <w:r>
        <w:t>发言人1 问：对于陕西煤业的盈利预测和风险提示有哪些？</w:t>
      </w:r>
    </w:p>
    <w:p>
      <w:r>
        <w:rPr>
          <w:rFonts w:ascii="等线(中文正文)" w:hAnsi="等线(中文正文)" w:cs="等线(中文正文)" w:eastAsia="等线(中文正文)"/>
          <w:b w:val="false"/>
          <w:i w:val="false"/>
          <w:sz w:val="20"/>
        </w:rPr>
        <w:t>发言人1 答：预计陕西煤业2026年至2028年的净利润分别为192亿、219.3亿和236.9亿，对应当前PE分别为12倍、10.5倍和9.8倍，维持推荐评级。驱动因素主要包括煤炭价格超预期上涨和公司煤炭产能核增。风险主要来自煤炭价格下降、下游需求不及预期以及煤炭安全事故等。</w:t>
      </w:r>
    </w:p>
    <w:p>
      <w:r>
        <w:rPr>
          <w:rFonts w:ascii="等线(中文正文)" w:hAnsi="等线(中文正文)" w:cs="等线(中文正文)" w:eastAsia="等线(中文正文)"/>
          <w:b w:val="false"/>
          <w:i w:val="false"/>
          <w:sz w:val="20"/>
        </w:rPr>
        <w:t/>
      </w:r>
    </w:p>
    <w:p>
      <w:pPr>
        <w:pStyle w:val="ab"/>
      </w:pPr>
      <w:r>
        <w:t>发言人1 问：公司未来几年的利润预计是多少？</w:t>
      </w:r>
    </w:p>
    <w:p>
      <w:r>
        <w:rPr>
          <w:rFonts w:ascii="等线(中文正文)" w:hAnsi="等线(中文正文)" w:cs="等线(中文正文)" w:eastAsia="等线(中文正文)"/>
          <w:b w:val="false"/>
          <w:i w:val="false"/>
          <w:sz w:val="20"/>
        </w:rPr>
        <w:t>发言人1 答：预计公司2026年至2028年的净利润分别是91.39亿元、101.62亿元和106.51亿元，对应2026年至2028年的市盈率分别为7.56倍、6.8倍和6.5倍。</w:t>
      </w:r>
    </w:p>
    <w:p>
      <w:r>
        <w:rPr>
          <w:rFonts w:ascii="等线(中文正文)" w:hAnsi="等线(中文正文)" w:cs="等线(中文正文)" w:eastAsia="等线(中文正文)"/>
          <w:b w:val="false"/>
          <w:i w:val="false"/>
          <w:sz w:val="20"/>
        </w:rPr>
        <w:t/>
      </w:r>
    </w:p>
    <w:p>
      <w:pPr>
        <w:pStyle w:val="ab"/>
      </w:pPr>
      <w:r>
        <w:t>发言人1 问：2026年3月18号，淮安基地的电子布生产线投产后，对公司业绩有哪些影响？</w:t>
      </w:r>
    </w:p>
    <w:p>
      <w:r>
        <w:rPr>
          <w:rFonts w:ascii="等线(中文正文)" w:hAnsi="等线(中文正文)" w:cs="等线(中文正文)" w:eastAsia="等线(中文正文)"/>
          <w:b w:val="false"/>
          <w:i w:val="false"/>
          <w:sz w:val="20"/>
        </w:rPr>
        <w:t>发言人1 答：淮安基地年产10万吨电子波先及3.9米电子布生产线投产后，主要生产超细纱和超薄布等高端电子集采产品。随着新产能逐步释放，有望为公司带来新的业绩增量，并且高附加值产品的占比提升将驱动公司整体盈利中枢上移，预计2026年一季度毛利率将进一步上涨。</w:t>
      </w:r>
    </w:p>
    <w:p>
      <w:r>
        <w:rPr>
          <w:rFonts w:ascii="等线(中文正文)" w:hAnsi="等线(中文正文)" w:cs="等线(中文正文)" w:eastAsia="等线(中文正文)"/>
          <w:b w:val="false"/>
          <w:i w:val="false"/>
          <w:sz w:val="20"/>
        </w:rPr>
        <w:t/>
      </w:r>
    </w:p>
    <w:p>
      <w:pPr>
        <w:pStyle w:val="ab"/>
      </w:pPr>
      <w:r>
        <w:t>发言人1 问：公司未来发展前景的主要驱动因素有哪些？</w:t>
      </w:r>
    </w:p>
    <w:p>
      <w:r>
        <w:rPr>
          <w:rFonts w:ascii="等线(中文正文)" w:hAnsi="等线(中文正文)" w:cs="等线(中文正文)" w:eastAsia="等线(中文正文)"/>
          <w:b w:val="false"/>
          <w:i w:val="false"/>
          <w:sz w:val="20"/>
        </w:rPr>
        <w:t>发言人1 答：主要驱动因素有两点：一是短期内电子服务市场的供应紧缺难以缓解，普通电子布价格有望继续上涨，公司凭借其电子布的规模优势和成本优势，业绩弹性较大；二是新产能的放量和高附加值产品占比提升，将推动公司后续整体盈利中枢继续上升。</w:t>
      </w:r>
    </w:p>
    <w:p>
      <w:r>
        <w:rPr>
          <w:rFonts w:ascii="等线(中文正文)" w:hAnsi="等线(中文正文)" w:cs="等线(中文正文)" w:eastAsia="等线(中文正文)"/>
          <w:b w:val="false"/>
          <w:i w:val="false"/>
          <w:sz w:val="20"/>
        </w:rPr>
        <w:t/>
      </w:r>
    </w:p>
    <w:p>
      <w:pPr>
        <w:pStyle w:val="ab"/>
      </w:pPr>
      <w:r>
        <w:t>发言人1 问：对于中国巨石和海伦哲两家公司的未来展望和主要风险有哪些？海伦哲在储能消防新业务方面的增长潜力如何？</w:t>
      </w:r>
    </w:p>
    <w:p>
      <w:r>
        <w:rPr>
          <w:rFonts w:ascii="等线(中文正文)" w:hAnsi="等线(中文正文)" w:cs="等线(中文正文)" w:eastAsia="等线(中文正文)"/>
          <w:b w:val="false"/>
          <w:i w:val="false"/>
          <w:sz w:val="20"/>
        </w:rPr>
        <w:t>发言人1 答：中国巨石方面，预计2026到2028年归母净利润分别为61亿、69亿和74亿，同比增长87%、12%和8%，对应PE分别为28倍、25倍和23倍。主要风险包括下游需求不及预期、原材料价格波动超预期、新产品研发不及预期以及产能释放不及预期的风险。海伦哲通过收购气溶胶消防龙头企业吉安顿，切入储能消防赛道，并实现技术、认证和交付能力的显著提升。吉安顿产品线全面覆盖储能消防环节，且已进入国内外知名电芯厂和储能集成商供应链，海外市占率超过50%。收购协议中，吉安顿承诺2026年和2027年净利润不低于3.23.82 8亿元，且公司有信心实现业绩承诺。</w:t>
      </w:r>
    </w:p>
    <w:p>
      <w:r>
        <w:rPr>
          <w:rFonts w:ascii="等线(中文正文)" w:hAnsi="等线(中文正文)" w:cs="等线(中文正文)" w:eastAsia="等线(中文正文)"/>
          <w:b w:val="false"/>
          <w:i w:val="false"/>
          <w:sz w:val="20"/>
        </w:rPr>
        <w:t/>
      </w:r>
    </w:p>
    <w:p>
      <w:pPr>
        <w:pStyle w:val="ab"/>
      </w:pPr>
      <w:r>
        <w:t>发言人1 问：海伦哲在传统车辆业务以及储能消防新业务的具体情况如何？</w:t>
      </w:r>
    </w:p>
    <w:p>
      <w:r>
        <w:rPr>
          <w:rFonts w:ascii="等线(中文正文)" w:hAnsi="等线(中文正文)" w:cs="等线(中文正文)" w:eastAsia="等线(中文正文)"/>
          <w:b w:val="false"/>
          <w:i w:val="false"/>
          <w:sz w:val="20"/>
        </w:rPr>
        <w:t>发言人1 答：在传统车辆业务上，海伦哲的高空作业车、电源车、消防车等应用场景广泛，收入稳步增长。新业务方面，储能消防板块受益于市场扩容和技术优势，尤其是收购吉安顿后，有望实现与传统业务的良好协同效应。我们对海伦哲储能消防新业务进行了收入和利润估算，预计2026至2028年收入分别为6.129.18和12.24亿元，对公司整体业绩增长起到积极作用。</w:t>
      </w:r>
    </w:p>
    <w:p>
      <w:r>
        <w:rPr>
          <w:rFonts w:ascii="等线(中文正文)" w:hAnsi="等线(中文正文)" w:cs="等线(中文正文)" w:eastAsia="等线(中文正文)"/>
          <w:b w:val="false"/>
          <w:i w:val="false"/>
          <w:sz w:val="20"/>
        </w:rPr>
        <w:t/>
      </w:r>
    </w:p>
    <w:p>
      <w:pPr>
        <w:pStyle w:val="ab"/>
      </w:pPr>
      <w:r>
        <w:t>发言人1 问：金盛机电所涉及的光伏和半导体行业现状及对公司业务的影响是什么？</w:t>
      </w:r>
    </w:p>
    <w:p>
      <w:r>
        <w:rPr>
          <w:rFonts w:ascii="等线(中文正文)" w:hAnsi="等线(中文正文)" w:cs="等线(中文正文)" w:eastAsia="等线(中文正文)"/>
          <w:b w:val="false"/>
          <w:i w:val="false"/>
          <w:sz w:val="20"/>
        </w:rPr>
        <w:t>发言人1 答：光伏行业正经历下行期，但新技术（如BC）和光伏设备出海成为看点。半导体领域，碳化硅价格降幅收窄，新能源汽车渗透率提升带动行业基本面改善，同时AI、光学和先进封装等领域潜在应用有望拓展市场空间。金盛机电作为技术平台型企业，在光伏和半导体领域均有布局，尤其在单晶炉等设备领域占据全球领先地位。虽然光伏行业调整对公司业绩产生一定压力，但半导体业务正逐步成为增长主力，特别是在8到12英寸大硅片设备、碳化硅外延设备以及碳化硅材料等方面，订单快速增长，推动公司业绩高速释放。</w:t>
      </w:r>
    </w:p>
    <w:p>
      <w:r>
        <w:rPr>
          <w:rFonts w:ascii="等线(中文正文)" w:hAnsi="等线(中文正文)" w:cs="等线(中文正文)" w:eastAsia="等线(中文正文)"/>
          <w:b w:val="false"/>
          <w:i w:val="false"/>
          <w:sz w:val="20"/>
        </w:rPr>
        <w:t/>
      </w:r>
    </w:p>
    <w:p>
      <w:pPr>
        <w:pStyle w:val="ab"/>
      </w:pPr>
      <w:r>
        <w:t>发言人1 问：公司光伏业务目前的情况如何，以及对未来有何展望？</w:t>
      </w:r>
    </w:p>
    <w:p>
      <w:r>
        <w:rPr>
          <w:rFonts w:ascii="等线(中文正文)" w:hAnsi="等线(中文正文)" w:cs="等线(中文正文)" w:eastAsia="等线(中文正文)"/>
          <w:b w:val="false"/>
          <w:i w:val="false"/>
          <w:sz w:val="20"/>
        </w:rPr>
        <w:t>发言人1 答：公司光伏业务已看到底部出现并开始明确，未来碳化硅和其他半导体设备业务有望接力成长，特别是碳化硅业务有望迎来周期反转。尽管在收入端可能因光伏行业的下行而未能体现出高速增长，但在利润端有望逐步出现反转。预计26年到28年的净利润分别为10亿、12亿和14亿，对应PE为54倍、45倍和40倍。</w:t>
      </w:r>
    </w:p>
    <w:p>
      <w:r>
        <w:rPr>
          <w:rFonts w:ascii="等线(中文正文)" w:hAnsi="等线(中文正文)" w:cs="等线(中文正文)" w:eastAsia="等线(中文正文)"/>
          <w:b w:val="false"/>
          <w:i w:val="false"/>
          <w:sz w:val="20"/>
        </w:rPr>
        <w:t/>
      </w:r>
    </w:p>
    <w:p>
      <w:pPr>
        <w:pStyle w:val="ab"/>
      </w:pPr>
      <w:r>
        <w:t>发言人1 问：为何推荐中际创作为六月金股，其行业竞争格局和市场空间如何？</w:t>
      </w:r>
    </w:p>
    <w:p>
      <w:r>
        <w:rPr>
          <w:rFonts w:ascii="等线(中文正文)" w:hAnsi="等线(中文正文)" w:cs="等线(中文正文)" w:eastAsia="等线(中文正文)"/>
          <w:b w:val="false"/>
          <w:i w:val="false"/>
          <w:sz w:val="20"/>
        </w:rPr>
        <w:t>发言人1 答：中际创新被推荐主要基于三点理由：首先，光模块行业在经历2025年高速增长后，2020年预计会进入更加繁荣的状态，且到2027年市场空间也会实现较高增长，这主要得益于1.6T模块和800G光模块需求的强劲放量；其次，中际创新作为全球光模块龙头企业，将优先享受到量价红利，存货水平的提升预示着未来业绩增长兑现度增强；最后，尽管市场对于2027年的预期信心不足，但预计公司在受益于上游原材料紧缺带来的模块价格下降趋势下，仍能通过价格波动较小与出货量提升获得业绩增长，并且3.2T光模块有望在下半年实现首次批量出货。</w:t>
      </w:r>
    </w:p>
    <w:p>
      <w:r>
        <w:rPr>
          <w:rFonts w:ascii="等线(中文正文)" w:hAnsi="等线(中文正文)" w:cs="等线(中文正文)" w:eastAsia="等线(中文正文)"/>
          <w:b w:val="false"/>
          <w:i w:val="false"/>
          <w:sz w:val="20"/>
        </w:rPr>
        <w:t/>
      </w:r>
    </w:p>
    <w:p>
      <w:pPr>
        <w:pStyle w:val="ab"/>
      </w:pPr>
      <w:r>
        <w:t>发言人1 问：对于中际创新的财务数据及产品盈利能力有何分析？</w:t>
      </w:r>
    </w:p>
    <w:p>
      <w:r>
        <w:rPr>
          <w:rFonts w:ascii="等线(中文正文)" w:hAnsi="等线(中文正文)" w:cs="等线(中文正文)" w:eastAsia="等线(中文正文)"/>
          <w:b w:val="false"/>
          <w:i w:val="false"/>
          <w:sz w:val="20"/>
        </w:rPr>
        <w:t>发言人1 答：800G光模块出货量首年的毛利率预计在40%以上，而1.6T光模块由于原材料如光芯片、电芯片和法拉第旋片等紧缺，其毛利率可能比800G光模块更高。随着毛利率不断上升和出货量持续增加，当前是重点推荐全球光模块龙头企业中际创新。</w:t>
      </w:r>
    </w:p>
    <w:p>
      <w:r>
        <w:rPr>
          <w:rFonts w:ascii="等线(中文正文)" w:hAnsi="等线(中文正文)" w:cs="等线(中文正文)" w:eastAsia="等线(中文正文)"/>
          <w:b w:val="false"/>
          <w:i w:val="false"/>
          <w:sz w:val="20"/>
        </w:rPr>
        <w:t/>
      </w:r>
    </w:p>
    <w:p>
      <w:pPr>
        <w:pStyle w:val="ab"/>
      </w:pPr>
      <w:r>
        <w:t>发言人1 问：对于创新公司的基本情况及业绩展望是如何的？</w:t>
      </w:r>
    </w:p>
    <w:p>
      <w:r>
        <w:rPr>
          <w:rFonts w:ascii="等线(中文正文)" w:hAnsi="等线(中文正文)" w:cs="等线(中文正文)" w:eastAsia="等线(中文正文)"/>
          <w:b w:val="false"/>
          <w:i w:val="false"/>
          <w:sz w:val="20"/>
        </w:rPr>
        <w:t>发言人1 答：创新公司是A股半导体行业的龙头企业，主营业务包括MCU存储、模拟及各类传感器等，其中存储和MCU为其核心业务。在存储器领域，公司已达到全球市场份额第一或第二的位置，出货量可能是全球第一。近期，随着AI需求的增长以及产能扩张，存储价格保持高位震荡，这将对公司整体业绩产生积极催化作用。预计今年公司净利润至少达到100亿，后续随着存储价格的增长，净利润有望进一步上调。目前，公司的PE和PS估值相对较低，未来发展空间巨大。</w:t>
      </w:r>
    </w:p>
    <w:p>
      <w:r>
        <w:rPr>
          <w:rFonts w:ascii="等线(中文正文)" w:hAnsi="等线(中文正文)" w:cs="等线(中文正文)" w:eastAsia="等线(中文正文)"/>
          <w:b w:val="false"/>
          <w:i w:val="false"/>
          <w:sz w:val="20"/>
        </w:rPr>
        <w:t/>
      </w:r>
    </w:p>
    <w:p>
      <w:pPr>
        <w:pStyle w:val="ab"/>
      </w:pPr>
      <w:r>
        <w:t>发言人1 问：创新公司在充电宝市场的表现及其逻辑是什么？</w:t>
      </w:r>
    </w:p>
    <w:p>
      <w:r>
        <w:rPr>
          <w:rFonts w:ascii="等线(中文正文)" w:hAnsi="等线(中文正文)" w:cs="等线(中文正文)" w:eastAsia="等线(中文正文)"/>
          <w:b w:val="false"/>
          <w:i w:val="false"/>
          <w:sz w:val="20"/>
        </w:rPr>
        <w:t>发言人1 答：创新公司受益于中国市场新政策，充电宝品类销售实现快速增长。2025年全年收入利润分别同比增长54%和52%，2026年一季度在高基数情况下仍保持53%和58%的同比增长。主要逻辑包括：1) 充电宝新规带动换新需求和格局集中；2) 公司产品结构持续升级，如无线充、快充技术的应用；3) 加速海外渠道拓展，以及在通胀压力下，性价比消费受市场欢迎。此外，智能存储产品也实现了爆发式增长，市场份额快速提升，行业beta和公司阿尔法的驱动下取得了显著成绩。</w:t>
      </w:r>
    </w:p>
    <w:p>
      <w:r>
        <w:rPr>
          <w:rFonts w:ascii="等线(中文正文)" w:hAnsi="等线(中文正文)" w:cs="等线(中文正文)" w:eastAsia="等线(中文正文)"/>
          <w:b w:val="false"/>
          <w:i w:val="false"/>
          <w:sz w:val="20"/>
        </w:rPr>
        <w:t/>
      </w:r>
    </w:p>
    <w:p>
      <w:pPr>
        <w:pStyle w:val="ab"/>
      </w:pPr>
      <w:r>
        <w:t>发言人1 问：尽管硬盘成本上涨可能会影响需求，AI技术的创新能否支撑公司智能存储业务的发展？</w:t>
      </w:r>
    </w:p>
    <w:p>
      <w:r>
        <w:rPr>
          <w:rFonts w:ascii="等线(中文正文)" w:hAnsi="等线(中文正文)" w:cs="等线(中文正文)" w:eastAsia="等线(中文正文)"/>
          <w:b w:val="false"/>
          <w:i w:val="false"/>
          <w:sz w:val="20"/>
        </w:rPr>
        <w:t>发言人1 答：我们相信即使硬盘成本上升，AI的技术创新仍能推动公司智能存储业务的快速发展。AI具有强大的可算力，并有望在open cloud等AI agent带动下取得亮眼表现。相关产品设计满足全天候7乘24小时运行要求，更适合全天候需求。</w:t>
      </w:r>
    </w:p>
    <w:p>
      <w:r>
        <w:rPr>
          <w:rFonts w:ascii="等线(中文正文)" w:hAnsi="等线(中文正文)" w:cs="等线(中文正文)" w:eastAsia="等线(中文正文)"/>
          <w:b w:val="false"/>
          <w:i w:val="false"/>
          <w:sz w:val="20"/>
        </w:rPr>
        <w:t/>
      </w:r>
    </w:p>
    <w:p>
      <w:pPr>
        <w:pStyle w:val="ab"/>
      </w:pPr>
      <w:r>
        <w:t>发言人1 问：绿联与mini max的合作情况如何？</w:t>
      </w:r>
    </w:p>
    <w:p>
      <w:r>
        <w:rPr>
          <w:rFonts w:ascii="等线(中文正文)" w:hAnsi="等线(中文正文)" w:cs="等线(中文正文)" w:eastAsia="等线(中文正文)"/>
          <w:b w:val="false"/>
          <w:i w:val="false"/>
          <w:sz w:val="20"/>
        </w:rPr>
        <w:t>发言人1 答：2026年3月13日，绿联宣布与mini max达成深度战略合作，open cloud应用已正式上线绿联的nex应用中心，实现了开箱即用。根据海外APP下载量观察，绿联云下载量快速增长，2026年一季度境外和境内的APP下载量分别同比增长了4%和221%。</w:t>
      </w:r>
    </w:p>
    <w:p>
      <w:r>
        <w:rPr>
          <w:rFonts w:ascii="等线(中文正文)" w:hAnsi="等线(中文正文)" w:cs="等线(中文正文)" w:eastAsia="等线(中文正文)"/>
          <w:b w:val="false"/>
          <w:i w:val="false"/>
          <w:sz w:val="20"/>
        </w:rPr>
        <w:t/>
      </w:r>
    </w:p>
    <w:p>
      <w:pPr>
        <w:pStyle w:val="ab"/>
      </w:pPr>
      <w:r>
        <w:t>发言人1 问：对于公司未来几年的预期发展如何？</w:t>
      </w:r>
    </w:p>
    <w:p>
      <w:r>
        <w:rPr>
          <w:rFonts w:ascii="等线(中文正文)" w:hAnsi="等线(中文正文)" w:cs="等线(中文正文)" w:eastAsia="等线(中文正文)"/>
          <w:b w:val="false"/>
          <w:i w:val="false"/>
          <w:sz w:val="20"/>
        </w:rPr>
        <w:t>发言人1 答：我们预计公司未来几年能保持较快增长，2020年至2028年的收入增速分别为39.1%、26.7%和24.8%，净利润增速分别为47.9%、33.9%和31.3%，EPS分别为2.51元、3.36元和4.42元。当前股价对应27.8、20.8和15.8倍PE，维持推荐评级，持续看好公司未来发展。</w:t>
      </w:r>
    </w:p>
    <w:p>
      <w:r>
        <w:rPr>
          <w:rFonts w:ascii="等线(中文正文)" w:hAnsi="等线(中文正文)" w:cs="等线(中文正文)" w:eastAsia="等线(中文正文)"/>
          <w:b w:val="false"/>
          <w:i w:val="false"/>
          <w:sz w:val="20"/>
        </w:rPr>
        <w:t/>
      </w:r>
    </w:p>
    <w:p>
      <w:pPr>
        <w:pStyle w:val="ab"/>
      </w:pPr>
      <w:r>
        <w:t>发言人1 问：华润置地的业务构成和2025年业绩情况怎样？</w:t>
      </w:r>
    </w:p>
    <w:p>
      <w:r>
        <w:rPr>
          <w:rFonts w:ascii="等线(中文正文)" w:hAnsi="等线(中文正文)" w:cs="等线(中文正文)" w:eastAsia="等线(中文正文)"/>
          <w:b w:val="false"/>
          <w:i w:val="false"/>
          <w:sz w:val="20"/>
        </w:rPr>
        <w:t>发言人1 答：华润置地专注于开发销售业务、经营性不动产业务和净资产管理业务三大增长曲线。其中，开发销售业务行业地位前三，经营性不动产主要包括购物中心、写字楼和酒店等业态。2025年，华润置地实现营收2814亿元，同比增长0.9%，核心净利润224.8亿元，同比下降11%。</w:t>
      </w:r>
    </w:p>
    <w:p>
      <w:r>
        <w:rPr>
          <w:rFonts w:ascii="等线(中文正文)" w:hAnsi="等线(中文正文)" w:cs="等线(中文正文)" w:eastAsia="等线(中文正文)"/>
          <w:b w:val="false"/>
          <w:i w:val="false"/>
          <w:sz w:val="20"/>
        </w:rPr>
        <w:t/>
      </w:r>
    </w:p>
    <w:p>
      <w:pPr>
        <w:pStyle w:val="ab"/>
      </w:pPr>
      <w:r>
        <w:t>发言人1 问：华润置地各业务板块的表现如何？华润置地在开发业务方面的表现如何？</w:t>
      </w:r>
    </w:p>
    <w:p>
      <w:r>
        <w:rPr>
          <w:rFonts w:ascii="等线(中文正文)" w:hAnsi="等线(中文正文)" w:cs="等线(中文正文)" w:eastAsia="等线(中文正文)"/>
          <w:b w:val="false"/>
          <w:i w:val="false"/>
          <w:sz w:val="20"/>
        </w:rPr>
        <w:t>发言人1 答：核心净利润中，经营性不动产和新资产管理业务贡献显著，占比超过一半，对核心净利润起到重要支撑作用。具体来说，购物中心业务作为第二增长曲线，收入占比高且毛利率高达77%，出租率也保持在97%以上，新增及在营购物中心规模持续增长，已有98座在营购物中心，其中82个零售额位列当地前三。尽管销售规模和金额有所下降，但华润置地通过聚焦核心城市、拿地质量高的策略，在行业承压情况下实现了销售均价上行，从而维持相对较高的毛利率。此外，公司在投资方面保持稳健力度，新增地块积极，拿地楼面价高于销售均价，体现了公司持续高质量发展的能力。</w:t>
      </w:r>
    </w:p>
    <w:p>
      <w:r>
        <w:rPr>
          <w:rFonts w:ascii="等线(中文正文)" w:hAnsi="等线(中文正文)" w:cs="等线(中文正文)" w:eastAsia="等线(中文正文)"/>
          <w:b w:val="false"/>
          <w:i w:val="false"/>
          <w:sz w:val="20"/>
        </w:rPr>
        <w:t/>
      </w:r>
    </w:p>
    <w:p>
      <w:pPr>
        <w:pStyle w:val="ab"/>
      </w:pPr>
      <w:r>
        <w:t>发言人1 问：华润置地在土地储备方面的情况如何？</w:t>
      </w:r>
    </w:p>
    <w:p>
      <w:r>
        <w:rPr>
          <w:rFonts w:ascii="等线(中文正文)" w:hAnsi="等线(中文正文)" w:cs="等线(中文正文)" w:eastAsia="等线(中文正文)"/>
          <w:b w:val="false"/>
          <w:i w:val="false"/>
          <w:sz w:val="20"/>
        </w:rPr>
        <w:t>发言人1 答：截至2025年末，华润置地投资物业（即经营不动产业务）的土储规模超过730万方，商业用途土储约480万方，同时还有30个在建和规划中的购物中心项目储备，布局于北京、上海、深圳等核心城市，为未来发展提供了充足的空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