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招商策略 - A股2026年6月观点及配置建议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A股 盈利增速 牛市第三阶段 流动性 AI产业链 美联储 资源品 新能源 电子 半导体 机械设备 电力设备 电池 电网设备 国防军工 工业金属 金属新材料 基础化工。 K型分化 TMT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中，策略分析师详细阐述了对A股及港股的最新策略观点与行业配置建议，强调A股当前处于盈利驱动的上行趋势第三阶段。分析指出，六月份市场仍由盈利增长支撑，关注工业企业盈利增速、AI基建新产业趋势及资源品价格上涨对市场的影响。此外，讨论了流动性环境、机构投资者行为、海外流动性和美联储政策对A股的潜在作用。建议关注K型复苏、反内卷政策、算力网络建设、新能源汽车等领域，同时指出港股可能的底部特征和反弹潜力，为投资者提供投资方向参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A股景气强化，震荡上行趋势展望</w:t>
      </w:r>
    </w:p>
    <w:p>
      <w:r>
        <w:rPr>
          <w:rFonts w:ascii="等线(中文正文)" w:hAnsi="等线(中文正文)" w:cs="等线(中文正文)" w:eastAsia="等线(中文正文)"/>
          <w:b w:val="false"/>
          <w:i w:val="false"/>
          <w:sz w:val="20"/>
        </w:rPr>
        <w:t>报告分析了A股市场处于盈利驱动的上行趋势中，尤其在新产业趋势和资源品涨价的推动下，整体盈利增速回升。尽管局部行业存在过热担忧，但市场整体未见底部迹象。流动性方面，尽管重要机构投资者减缓了增量资金的正反馈，但国内融资余额和量化资金持续流入，预示市场仍具上行动力。六月或成为市场转折点，重要机构投资者的行为模式显示其旨在控制市场上行速度而非推动下跌。</w:t>
      </w:r>
    </w:p>
    <w:p>
      <w:r>
        <w:rPr>
          <w:rFonts w:ascii="等线(中文正文)" w:hAnsi="等线(中文正文)" w:cs="等线(中文正文)" w:eastAsia="等线(中文正文)"/>
          <w:b w:val="false"/>
          <w:i w:val="false"/>
          <w:sz w:val="20"/>
        </w:rPr>
        <w:t/>
      </w:r>
    </w:p>
    <w:p>
      <w:pPr>
        <w:pStyle w:val="ab"/>
        <w:numPr>
          <w:numId w:val="2"/>
        </w:numPr>
      </w:pPr>
      <w:r>
        <w:t>04:28 A股市场走势与流动性因素分析</w:t>
      </w:r>
    </w:p>
    <w:p>
      <w:r>
        <w:rPr>
          <w:rFonts w:ascii="等线(中文正文)" w:hAnsi="等线(中文正文)" w:cs="等线(中文正文)" w:eastAsia="等线(中文正文)"/>
          <w:b w:val="false"/>
          <w:i w:val="false"/>
          <w:sz w:val="20"/>
        </w:rPr>
        <w:t>对话探讨了A股市场在2024年的走势，指出上半年未涨，下半年有望通过重要机构投资者的流入和美联储政策的不确定性影响市场。分析认为，若重要机构投资者流出放缓，且美联储不采取紧缩政策，A股可能在六月中下旬创出新高，指数中枢将逐步抬升。同时，海外流动性尤其是美联储的货币政策成为国内投资者担忧的焦点，影响A股的市场情绪。</w:t>
      </w:r>
    </w:p>
    <w:p>
      <w:r>
        <w:rPr>
          <w:rFonts w:ascii="等线(中文正文)" w:hAnsi="等线(中文正文)" w:cs="等线(中文正文)" w:eastAsia="等线(中文正文)"/>
          <w:b w:val="false"/>
          <w:i w:val="false"/>
          <w:sz w:val="20"/>
        </w:rPr>
        <w:t/>
      </w:r>
    </w:p>
    <w:p>
      <w:pPr>
        <w:pStyle w:val="ab"/>
        <w:numPr>
          <w:numId w:val="3"/>
        </w:numPr>
      </w:pPr>
      <w:r>
        <w:t>09:36 A股牛市第三阶段投资策略：聚焦高盈增速与产业趋势</w:t>
      </w:r>
    </w:p>
    <w:p>
      <w:r>
        <w:rPr>
          <w:rFonts w:ascii="等线(中文正文)" w:hAnsi="等线(中文正文)" w:cs="等线(中文正文)" w:eastAsia="等线(中文正文)"/>
          <w:b w:val="false"/>
          <w:i w:val="false"/>
          <w:sz w:val="20"/>
        </w:rPr>
        <w:t>当前A股处于牛市第三阶段，投资策略应聚焦于高盈利增速板块，特别是受产业趋势和所有型通胀影响的领域，如新能源、AI硬件和资源股。市场预计从六月中旬开始，随着半年报业绩预告披露，交易活动将升温。行业推荐集中在科技主线，包括电子、半导体、机械设备等高性能领域，以及产能修复领域的有色和基础化工。整体风格延续，行业轮动将在高景气领域内部进行。</w:t>
      </w:r>
    </w:p>
    <w:p>
      <w:r>
        <w:rPr>
          <w:rFonts w:ascii="等线(中文正文)" w:hAnsi="等线(中文正文)" w:cs="等线(中文正文)" w:eastAsia="等线(中文正文)"/>
          <w:b w:val="false"/>
          <w:i w:val="false"/>
          <w:sz w:val="20"/>
        </w:rPr>
        <w:t/>
      </w:r>
    </w:p>
    <w:p>
      <w:pPr>
        <w:pStyle w:val="ab"/>
        <w:numPr>
          <w:numId w:val="4"/>
        </w:numPr>
      </w:pPr>
      <w:r>
        <w:t>12:42 AI产业链引领市场趋势与工业盈利增速分析</w:t>
      </w:r>
    </w:p>
    <w:p>
      <w:r>
        <w:rPr>
          <w:rFonts w:ascii="等线(中文正文)" w:hAnsi="等线(中文正文)" w:cs="等线(中文正文)" w:eastAsia="等线(中文正文)"/>
          <w:b w:val="false"/>
          <w:i w:val="false"/>
          <w:sz w:val="20"/>
        </w:rPr>
        <w:t>对话讨论了五月市场趋势延续，AI产业链表现突出，工业盈利增速回升至18.2%，呈现加速上行，且存在K型分化，中游设备和可选消费低景气，经济结构变化由AI驱动，工业盈利趋势短期难结束。</w:t>
      </w:r>
    </w:p>
    <w:p>
      <w:r>
        <w:rPr>
          <w:rFonts w:ascii="等线(中文正文)" w:hAnsi="等线(中文正文)" w:cs="等线(中文正文)" w:eastAsia="等线(中文正文)"/>
          <w:b w:val="false"/>
          <w:i w:val="false"/>
          <w:sz w:val="20"/>
        </w:rPr>
        <w:t/>
      </w:r>
    </w:p>
    <w:p>
      <w:pPr>
        <w:pStyle w:val="ab"/>
        <w:numPr>
          <w:numId w:val="5"/>
        </w:numPr>
      </w:pPr>
      <w:r>
        <w:t>15:53 TMT行业中期趋势与景气度分析</w:t>
      </w:r>
    </w:p>
    <w:p>
      <w:r>
        <w:rPr>
          <w:rFonts w:ascii="等线(中文正文)" w:hAnsi="等线(中文正文)" w:cs="等线(中文正文)" w:eastAsia="等线(中文正文)"/>
          <w:b w:val="false"/>
          <w:i w:val="false"/>
          <w:sz w:val="20"/>
        </w:rPr>
        <w:t>对话讨论了TMT行业中期趋势的判断依据，指出景气度由生产需求决定，分析了过往四波行情的驱动因素，包括4G建设、移动互联网渗透率提升等。当前，半导体产量加速上行，国产算力芯片技术突破及算力网络建设形成中美共振，预计2025年八月和2027年二月为景气度高点，但供给受限可能带来降速。</w:t>
      </w:r>
    </w:p>
    <w:p>
      <w:r>
        <w:rPr>
          <w:rFonts w:ascii="等线(中文正文)" w:hAnsi="等线(中文正文)" w:cs="等线(中文正文)" w:eastAsia="等线(中文正文)"/>
          <w:b w:val="false"/>
          <w:i w:val="false"/>
          <w:sz w:val="20"/>
        </w:rPr>
        <w:t/>
      </w:r>
    </w:p>
    <w:p>
      <w:pPr>
        <w:pStyle w:val="ab"/>
        <w:numPr>
          <w:numId w:val="6"/>
        </w:numPr>
      </w:pPr>
      <w:r>
        <w:t>20:40 市场行情分析与企业盈利变化探讨</w:t>
      </w:r>
    </w:p>
    <w:p>
      <w:r>
        <w:rPr>
          <w:rFonts w:ascii="等线(中文正文)" w:hAnsi="等线(中文正文)" w:cs="等线(中文正文)" w:eastAsia="等线(中文正文)"/>
          <w:b w:val="false"/>
          <w:i w:val="false"/>
          <w:sz w:val="20"/>
        </w:rPr>
        <w:t>讨论了市场对天气板块调整的担忧，指出这仅为短期现象，不会影响长期趋势。强调交易层面因素仅影响短期行情，无法决定更长周期的变化。建议关注企业营业成本下降的原因，如管理水平提升或AI技术应用。指出TMT和上游资源品是盈利增速的主要驱动因素，企业改善呈现K型复苏，集中在上游化纤、有色、化工等领域。</w:t>
      </w:r>
    </w:p>
    <w:p>
      <w:r>
        <w:rPr>
          <w:rFonts w:ascii="等线(中文正文)" w:hAnsi="等线(中文正文)" w:cs="等线(中文正文)" w:eastAsia="等线(中文正文)"/>
          <w:b w:val="false"/>
          <w:i w:val="false"/>
          <w:sz w:val="20"/>
        </w:rPr>
        <w:t/>
      </w:r>
    </w:p>
    <w:p>
      <w:pPr>
        <w:pStyle w:val="ab"/>
        <w:numPr>
          <w:numId w:val="7"/>
        </w:numPr>
      </w:pPr>
      <w:r>
        <w:t>22:52 反内卷政策与资源品价格波动分析</w:t>
      </w:r>
    </w:p>
    <w:p>
      <w:r>
        <w:rPr>
          <w:rFonts w:ascii="等线(中文正文)" w:hAnsi="等线(中文正文)" w:cs="等线(中文正文)" w:eastAsia="等线(中文正文)"/>
          <w:b w:val="false"/>
          <w:i w:val="false"/>
          <w:sz w:val="20"/>
        </w:rPr>
        <w:t>对话讨论了2016年供给侧改革对煤炭、钢铁等领域的显著影响，以及当前反内卷政策可能引发的价格上涨趋势。重点分析了资源股的估值优势和未来增长潜力，特别是美国达成协议后可能带来的全球流动性缓和及有色金属市场的新一轮上涨机会。建议投资者考虑向资源股切换，而非低景气行业，以把握潜在的投资机遇。</w:t>
      </w:r>
    </w:p>
    <w:p>
      <w:r>
        <w:rPr>
          <w:rFonts w:ascii="等线(中文正文)" w:hAnsi="等线(中文正文)" w:cs="等线(中文正文)" w:eastAsia="等线(中文正文)"/>
          <w:b w:val="false"/>
          <w:i w:val="false"/>
          <w:sz w:val="20"/>
        </w:rPr>
        <w:t/>
      </w:r>
    </w:p>
    <w:p>
      <w:pPr>
        <w:pStyle w:val="ab"/>
        <w:numPr>
          <w:numId w:val="8"/>
        </w:numPr>
      </w:pPr>
      <w:r>
        <w:t>26:07 大型IPO对市场流动性影响分析</w:t>
      </w:r>
    </w:p>
    <w:p>
      <w:r>
        <w:rPr>
          <w:rFonts w:ascii="等线(中文正文)" w:hAnsi="等线(中文正文)" w:cs="等线(中文正文)" w:eastAsia="等线(中文正文)"/>
          <w:b w:val="false"/>
          <w:i w:val="false"/>
          <w:sz w:val="20"/>
        </w:rPr>
        <w:t>讨论了大型IPO对市场流动性的潜在扰动，指出IPO上市初期的流动性冲击有限，真正的流动性压力可能出现在一年后的解禁期。通过分析中芯国际案例，说明大型IPO与市场行情并无直接联系，强调不应过度担忧IPO上市时的抽水效应。</w:t>
      </w:r>
    </w:p>
    <w:p>
      <w:r>
        <w:rPr>
          <w:rFonts w:ascii="等线(中文正文)" w:hAnsi="等线(中文正文)" w:cs="等线(中文正文)" w:eastAsia="等线(中文正文)"/>
          <w:b w:val="false"/>
          <w:i w:val="false"/>
          <w:sz w:val="20"/>
        </w:rPr>
        <w:t/>
      </w:r>
    </w:p>
    <w:p>
      <w:pPr>
        <w:pStyle w:val="ab"/>
        <w:numPr>
          <w:numId w:val="9"/>
        </w:numPr>
      </w:pPr>
      <w:r>
        <w:t>30:27 减持规模与市场行情关系探讨</w:t>
      </w:r>
    </w:p>
    <w:p>
      <w:r>
        <w:rPr>
          <w:rFonts w:ascii="等线(中文正文)" w:hAnsi="等线(中文正文)" w:cs="等线(中文正文)" w:eastAsia="等线(中文正文)"/>
          <w:b w:val="false"/>
          <w:i w:val="false"/>
          <w:sz w:val="20"/>
        </w:rPr>
        <w:t>对话围绕减持规模与市场行情的关系展开，指出减持量大并不预示行情结束，强调减持与行情无直接关联，分析了减持规模增加的原因及影响，提出IPO提速与减持规模增大的关联，最后表示当前并无明显减持规模增大的情况，不应作为看空理由。</w:t>
      </w:r>
    </w:p>
    <w:p>
      <w:r>
        <w:rPr>
          <w:rFonts w:ascii="等线(中文正文)" w:hAnsi="等线(中文正文)" w:cs="等线(中文正文)" w:eastAsia="等线(中文正文)"/>
          <w:b w:val="false"/>
          <w:i w:val="false"/>
          <w:sz w:val="20"/>
        </w:rPr>
        <w:t/>
      </w:r>
    </w:p>
    <w:p>
      <w:pPr>
        <w:pStyle w:val="ab"/>
        <w:numPr>
          <w:numId w:val="10"/>
        </w:numPr>
      </w:pPr>
      <w:r>
        <w:t>33:09 机构减持与ETF流入：市场稳定与投资策略分析</w:t>
      </w:r>
    </w:p>
    <w:p>
      <w:r>
        <w:rPr>
          <w:rFonts w:ascii="等线(中文正文)" w:hAnsi="等线(中文正文)" w:cs="等线(中文正文)" w:eastAsia="等线(中文正文)"/>
          <w:b w:val="false"/>
          <w:i w:val="false"/>
          <w:sz w:val="20"/>
        </w:rPr>
        <w:t>讨论了机构减持对市场的影响，认为适度控制市场节奏有利于长期稳定发展。分析了ETF在关键节点的流入流出对市场支撑作用，提出6月份可能成为指数加速上行的时间点，但需关注后续可能的降温措施。</w:t>
      </w:r>
    </w:p>
    <w:p>
      <w:r>
        <w:rPr>
          <w:rFonts w:ascii="等线(中文正文)" w:hAnsi="等线(中文正文)" w:cs="等线(中文正文)" w:eastAsia="等线(中文正文)"/>
          <w:b w:val="false"/>
          <w:i w:val="false"/>
          <w:sz w:val="20"/>
        </w:rPr>
        <w:t/>
      </w:r>
    </w:p>
    <w:p>
      <w:pPr>
        <w:pStyle w:val="ab"/>
        <w:numPr>
          <w:numId w:val="11"/>
        </w:numPr>
      </w:pPr>
      <w:r>
        <w:t>36:23 美联储货币政策变动对A股市场的影响分析</w:t>
      </w:r>
    </w:p>
    <w:p>
      <w:r>
        <w:rPr>
          <w:rFonts w:ascii="等线(中文正文)" w:hAnsi="等线(中文正文)" w:cs="等线(中文正文)" w:eastAsia="等线(中文正文)"/>
          <w:b w:val="false"/>
          <w:i w:val="false"/>
          <w:sz w:val="20"/>
        </w:rPr>
        <w:t>讨论了美联储货币政策变化，尤其是加息概率增加对全球市场，特别是A股市场的影响。分析指出，美联储的政策转向，如不降息且缩表，可能引发美股大跌，进而对A股产生负面影响，尤其是在六月至十一月的中期选举前，市场需警惕黑天鹅事件。同时，油价波动和霍尔姆海峡的状况也被视为影响市场情绪的重要因素。</w:t>
      </w:r>
    </w:p>
    <w:p>
      <w:r>
        <w:rPr>
          <w:rFonts w:ascii="等线(中文正文)" w:hAnsi="等线(中文正文)" w:cs="等线(中文正文)" w:eastAsia="等线(中文正文)"/>
          <w:b w:val="false"/>
          <w:i w:val="false"/>
          <w:sz w:val="20"/>
        </w:rPr>
        <w:t/>
      </w:r>
    </w:p>
    <w:p>
      <w:pPr>
        <w:pStyle w:val="ab"/>
        <w:numPr>
          <w:numId w:val="12"/>
        </w:numPr>
      </w:pPr>
      <w:r>
        <w:t>39:34 A股行业分化与高景气赛道投资策略</w:t>
      </w:r>
    </w:p>
    <w:p>
      <w:r>
        <w:rPr>
          <w:rFonts w:ascii="等线(中文正文)" w:hAnsi="等线(中文正文)" w:cs="等线(中文正文)" w:eastAsia="等线(中文正文)"/>
          <w:b w:val="false"/>
          <w:i w:val="false"/>
          <w:sz w:val="20"/>
        </w:rPr>
        <w:t>A股市场呈现景气结构上行与盈利增速中枢上移，行业间分化严重，不同行业处于周期的不同阶段。投资策略应聚焦于上行与繁荣期的股票，同时布局下行尾声行业。重点推荐算力、新能源及受益于房地产供给改革的行业，这些领域展现出高景气度与结构性机会。</w:t>
      </w:r>
    </w:p>
    <w:p>
      <w:r>
        <w:rPr>
          <w:rFonts w:ascii="等线(中文正文)" w:hAnsi="等线(中文正文)" w:cs="等线(中文正文)" w:eastAsia="等线(中文正文)"/>
          <w:b w:val="false"/>
          <w:i w:val="false"/>
          <w:sz w:val="20"/>
        </w:rPr>
        <w:t/>
      </w:r>
    </w:p>
    <w:p>
      <w:pPr>
        <w:pStyle w:val="ab"/>
        <w:numPr>
          <w:numId w:val="13"/>
        </w:numPr>
      </w:pPr>
      <w:r>
        <w:t>41:41 港股盈利预期与AI商业模式落地分析</w:t>
      </w:r>
    </w:p>
    <w:p>
      <w:r>
        <w:rPr>
          <w:rFonts w:ascii="等线(中文正文)" w:hAnsi="等线(中文正文)" w:cs="等线(中文正文)" w:eastAsia="等线(中文正文)"/>
          <w:b w:val="false"/>
          <w:i w:val="false"/>
          <w:sz w:val="20"/>
        </w:rPr>
        <w:t>港股近期出现盈利预期改善迹象，大型互联网公司内耗减少及AI商业模式逐渐落地成为关键因素。预计二三季度为重要时间窗口，伴随token收费模式推广与mini max等公司上市辅导，AI商业模式的正式落地将促使港股，尤其是恒生互联网与恒生科技指数迎来拐点，从盈利拖累转向功能收益。</w:t>
      </w:r>
    </w:p>
    <w:p>
      <w:r>
        <w:rPr>
          <w:rFonts w:ascii="等线(中文正文)" w:hAnsi="等线(中文正文)" w:cs="等线(中文正文)" w:eastAsia="等线(中文正文)"/>
          <w:b w:val="false"/>
          <w:i w:val="false"/>
          <w:sz w:val="20"/>
        </w:rPr>
        <w:t/>
      </w:r>
    </w:p>
    <w:p>
      <w:pPr>
        <w:pStyle w:val="ab"/>
        <w:numPr>
          <w:numId w:val="14"/>
        </w:numPr>
      </w:pPr>
      <w:r>
        <w:t>44:36 港股底部特征与A股上行趋势分析</w:t>
      </w:r>
    </w:p>
    <w:p>
      <w:r>
        <w:rPr>
          <w:rFonts w:ascii="等线(中文正文)" w:hAnsi="等线(中文正文)" w:cs="等线(中文正文)" w:eastAsia="等线(中文正文)"/>
          <w:b w:val="false"/>
          <w:i w:val="false"/>
          <w:sz w:val="20"/>
        </w:rPr>
        <w:t>对话讨论了港股近期资金净流出现象，认为这可能是市场情绪极端化的信号，同时指出港股估值已至历史低位，尤其是恒生科技指数，预示着可能的反弹。A股方面，正处于盈利驱动的上行趋势，资金将更倾向于高景气度领域，如海外算力、新能源建设等。港股与A股的比较效应，以及AI商业模式落地的预期，共同构成了港股见底反弹的乐观依据。</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张仁全于周日晚上7点汇报了对A股的最新策略观点及行业配置建议，以“景气强化震荡上行”为主题。他指出，尽管A股目前处于盈利驱动的上行趋势，但仍面临不确定性，尤其是对部分行业可能已过热的担忧。回顾A股历史周期，目前处于盈利驱动的第三阶段。分析显示，工业企业盈利增速回升，上游资源品价格上涨，A股呈现K型分化，整体增速回升。张仁全深入分析了市场流动性、重要机构投资者行为及美联储政策对A股的影响，并提出了未来市场可能走势及行业配置建议，重点推荐科技、新能源、半导体、国防军工、电力设备和基础化工等行业。他呼吁投资者关注盈利驱动因素和结构性机会，同时警惕政策和市场情绪变化。</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问：六月份对于A股的核心观点是什么？</w:t>
      </w:r>
    </w:p>
    <w:p>
      <w:r>
        <w:rPr>
          <w:rFonts w:ascii="等线(中文正文)" w:hAnsi="等线(中文正文)" w:cs="等线(中文正文)" w:eastAsia="等线(中文正文)"/>
          <w:b w:val="false"/>
          <w:i w:val="false"/>
          <w:sz w:val="20"/>
        </w:rPr>
        <w:t>发言人1 答：六月份我们认为A股仍然处于上行趋势中，目前处于盈利驱动的正常上行阶段。这一判断基于工业企业盈利增速三个月滚动增速回升以及新产业趋势（如AI基建）叠加输入型通胀和原材料价格上涨导致的上游资源品涨价等因素。</w:t>
      </w:r>
    </w:p>
    <w:p>
      <w:r>
        <w:rPr>
          <w:rFonts w:ascii="等线(中文正文)" w:hAnsi="等线(中文正文)" w:cs="等线(中文正文)" w:eastAsia="等线(中文正文)"/>
          <w:b w:val="false"/>
          <w:i w:val="false"/>
          <w:sz w:val="20"/>
        </w:rPr>
        <w:t/>
      </w:r>
    </w:p>
    <w:p>
      <w:pPr>
        <w:pStyle w:val="ab"/>
      </w:pPr>
      <w:r>
        <w:t>发言人1 问：为什么认为A股指数不会在当前附近形成底部？</w:t>
      </w:r>
    </w:p>
    <w:p>
      <w:r>
        <w:rPr>
          <w:rFonts w:ascii="等线(中文正文)" w:hAnsi="等线(中文正文)" w:cs="等线(中文正文)" w:eastAsia="等线(中文正文)"/>
          <w:b w:val="false"/>
          <w:i w:val="false"/>
          <w:sz w:val="20"/>
        </w:rPr>
        <w:t>发言人1 答：当前盈利趋势并未见底，因此市场整体也难言见底。根据前期推演，预计明年一季度可能会出现盈利增速拐点，这意味着此轮盈利上升周期可能持续至2024年一季度，因此指数目前也处于上升趋势之中。</w:t>
      </w:r>
    </w:p>
    <w:p>
      <w:r>
        <w:rPr>
          <w:rFonts w:ascii="等线(中文正文)" w:hAnsi="等线(中文正文)" w:cs="等线(中文正文)" w:eastAsia="等线(中文正文)"/>
          <w:b w:val="false"/>
          <w:i w:val="false"/>
          <w:sz w:val="20"/>
        </w:rPr>
        <w:t/>
      </w:r>
    </w:p>
    <w:p>
      <w:pPr>
        <w:pStyle w:val="ab"/>
      </w:pPr>
      <w:r>
        <w:t>发言人1 问：从流动性的角度看，A股市场的情况如何？</w:t>
      </w:r>
    </w:p>
    <w:p>
      <w:r>
        <w:rPr>
          <w:rFonts w:ascii="等线(中文正文)" w:hAnsi="等线(中文正文)" w:cs="等线(中文正文)" w:eastAsia="等线(中文正文)"/>
          <w:b w:val="false"/>
          <w:i w:val="false"/>
          <w:sz w:val="20"/>
        </w:rPr>
        <w:t>发言人1 答：流动性方面，在去年四月份关税战结束后，增量资金形成正反馈机制推动市场加速上行。今年1月份开始，重要机构投资者大幅减持，对居民增量资金产生对冲效应，使得市场上行节奏明显降温。目前，国内增量资金仍以融资余额持续流入、量化资金流入和ETF流出为主要特点，这种结构分化的局面在未来一段时间内可能不会发生太大改变。</w:t>
      </w:r>
    </w:p>
    <w:p>
      <w:r>
        <w:rPr>
          <w:rFonts w:ascii="等线(中文正文)" w:hAnsi="等线(中文正文)" w:cs="等线(中文正文)" w:eastAsia="等线(中文正文)"/>
          <w:b w:val="false"/>
          <w:i w:val="false"/>
          <w:sz w:val="20"/>
        </w:rPr>
        <w:t/>
      </w:r>
    </w:p>
    <w:p>
      <w:pPr>
        <w:pStyle w:val="ab"/>
      </w:pPr>
      <w:r>
        <w:t>发言人1 问：六月份为何成为重要转折点，以及机构投资者的行为模式是怎样的？</w:t>
      </w:r>
    </w:p>
    <w:p>
      <w:r>
        <w:rPr>
          <w:rFonts w:ascii="等线(中文正文)" w:hAnsi="等线(中文正文)" w:cs="等线(中文正文)" w:eastAsia="等线(中文正文)"/>
          <w:b w:val="false"/>
          <w:i w:val="false"/>
          <w:sz w:val="20"/>
        </w:rPr>
        <w:t>发言人1 答：六月份是重要转折点，因为重要机构投资者的行为并非希望市场下跌，而是不希望市场过快上涨。如果当年指数下跌，他们在关键点位会有实际动作维稳市场。例如，在过去三年中，当指数出现大幅波动时，机构投资者会采取相应措施影响市场走势。在六月份和12月份，市场曾出现过明显的上升趋势，而在下半年，随着机构投资者流出放缓，指数有可能迎来进一步上行空间。</w:t>
      </w:r>
    </w:p>
    <w:p>
      <w:r>
        <w:rPr>
          <w:rFonts w:ascii="等线(中文正文)" w:hAnsi="等线(中文正文)" w:cs="等线(中文正文)" w:eastAsia="等线(中文正文)"/>
          <w:b w:val="false"/>
          <w:i w:val="false"/>
          <w:sz w:val="20"/>
        </w:rPr>
        <w:t/>
      </w:r>
    </w:p>
    <w:p>
      <w:pPr>
        <w:pStyle w:val="ab"/>
      </w:pPr>
      <w:r>
        <w:t>发言人1 问：海外流动性对A股的影响有多大？</w:t>
      </w:r>
    </w:p>
    <w:p>
      <w:r>
        <w:rPr>
          <w:rFonts w:ascii="等线(中文正文)" w:hAnsi="等线(中文正文)" w:cs="等线(中文正文)" w:eastAsia="等线(中文正文)"/>
          <w:b w:val="false"/>
          <w:i w:val="false"/>
          <w:sz w:val="20"/>
        </w:rPr>
        <w:t>发言人1 答：当前指数调整部分源于国内投资者担忧美国通胀升温导致美联储收紧货币政策。尽管美股持续创新高，但中国投资者更关注紧缩预期的影响。特别是六月中下旬美联储主席沃什的议息会议，其紧缩表态对国内投资情绪构成压制。若该次会议未出现类似紧缩表述，则会解除对A股的部分压制。同时，高盈利增速板块将驱动市场，在六月中下旬可能会创下新高，指数中枢将逐步抬升。</w:t>
      </w:r>
    </w:p>
    <w:p>
      <w:r>
        <w:rPr>
          <w:rFonts w:ascii="等线(中文正文)" w:hAnsi="等线(中文正文)" w:cs="等线(中文正文)" w:eastAsia="等线(中文正文)"/>
          <w:b w:val="false"/>
          <w:i w:val="false"/>
          <w:sz w:val="20"/>
        </w:rPr>
        <w:t/>
      </w:r>
    </w:p>
    <w:p>
      <w:pPr>
        <w:pStyle w:val="ab"/>
      </w:pPr>
      <w:r>
        <w:t>发言人1 问：六月中旬开始市场流动性紧缩预期是否告一段落，并且中报交易是否逐渐升温？五月份市场主要特点是什么？</w:t>
      </w:r>
    </w:p>
    <w:p>
      <w:r>
        <w:rPr>
          <w:rFonts w:ascii="等线(中文正文)" w:hAnsi="等线(中文正文)" w:cs="等线(中文正文)" w:eastAsia="等线(中文正文)"/>
          <w:b w:val="false"/>
          <w:i w:val="false"/>
          <w:sz w:val="20"/>
        </w:rPr>
        <w:t>发言人1 答：是的，六月中下旬开始，市场流动性紧缩预期确实告一段落，中报交易也逐渐升温。这意味着六月中旬可能是市场重新回到上行周期的起点。五月份市场呈现趋势延续的特点，其中AI产业链表现突出，市场整体震荡，宽基指数普遍表现不佳，形成分化格局。通信、电子、公用设备、电装置、建筑材料等行业大涨，而大多数行业下跌。</w:t>
      </w:r>
    </w:p>
    <w:p>
      <w:r>
        <w:rPr>
          <w:rFonts w:ascii="等线(中文正文)" w:hAnsi="等线(中文正文)" w:cs="等线(中文正文)" w:eastAsia="等线(中文正文)"/>
          <w:b w:val="false"/>
          <w:i w:val="false"/>
          <w:sz w:val="20"/>
        </w:rPr>
        <w:t/>
      </w:r>
    </w:p>
    <w:p>
      <w:pPr>
        <w:pStyle w:val="ab"/>
      </w:pPr>
      <w:r>
        <w:t>发言人1 问：当前市场风格切换是由交易层面因素主导还是由景气趋势主导？</w:t>
      </w:r>
    </w:p>
    <w:p>
      <w:r>
        <w:rPr>
          <w:rFonts w:ascii="等线(中文正文)" w:hAnsi="等线(中文正文)" w:cs="等线(中文正文)" w:eastAsia="等线(中文正文)"/>
          <w:b w:val="false"/>
          <w:i w:val="false"/>
          <w:sz w:val="20"/>
        </w:rPr>
        <w:t>发言人1 答：当前阶段性的风格切换主要由交易层面因素主导，但公司的风格切换是由景气趋势主导。如果没有景气趋势背景变化，市场风格不大可能出现重大变化，将继续在AI、新能源储能和资源股等行业间轮动。</w:t>
      </w:r>
    </w:p>
    <w:p>
      <w:r>
        <w:rPr>
          <w:rFonts w:ascii="等线(中文正文)" w:hAnsi="等线(中文正文)" w:cs="等线(中文正文)" w:eastAsia="等线(中文正文)"/>
          <w:b w:val="false"/>
          <w:i w:val="false"/>
          <w:sz w:val="20"/>
        </w:rPr>
        <w:t/>
      </w:r>
    </w:p>
    <w:p>
      <w:pPr>
        <w:pStyle w:val="ab"/>
      </w:pPr>
      <w:r>
        <w:t>发言人1 问：策略团队的核心行业推荐有哪些？</w:t>
      </w:r>
    </w:p>
    <w:p>
      <w:r>
        <w:rPr>
          <w:rFonts w:ascii="等线(中文正文)" w:hAnsi="等线(中文正文)" w:cs="等线(中文正文)" w:eastAsia="等线(中文正文)"/>
          <w:b w:val="false"/>
          <w:i w:val="false"/>
          <w:sz w:val="20"/>
        </w:rPr>
        <w:t>发言人1 答：策略团队的核心行业推荐主要包括科技主线上的高景气延续，如电子、半导体、机械设备、电力设备（包括电池、电网设备）、国防军工、航海装备、航空装备等；产能出现拐点的修复领域，如有色（包括工业金属、金属新材料、基础化工）。</w:t>
      </w:r>
    </w:p>
    <w:p>
      <w:r>
        <w:rPr>
          <w:rFonts w:ascii="等线(中文正文)" w:hAnsi="等线(中文正文)" w:cs="等线(中文正文)" w:eastAsia="等线(中文正文)"/>
          <w:b w:val="false"/>
          <w:i w:val="false"/>
          <w:sz w:val="20"/>
        </w:rPr>
        <w:t/>
      </w:r>
    </w:p>
    <w:p>
      <w:pPr>
        <w:pStyle w:val="ab"/>
      </w:pPr>
      <w:r>
        <w:t>发言人1 问：当前牛市第三阶段的关键变量是什么？</w:t>
      </w:r>
    </w:p>
    <w:p>
      <w:r>
        <w:rPr>
          <w:rFonts w:ascii="等线(中文正文)" w:hAnsi="等线(中文正文)" w:cs="等线(中文正文)" w:eastAsia="等线(中文正文)"/>
          <w:b w:val="false"/>
          <w:i w:val="false"/>
          <w:sz w:val="20"/>
        </w:rPr>
        <w:t>发言人1 答：当前牛市第三阶段的关键变量是工业企业盈利增速，目前该增速在进一步回升，三个月滚动同比增速已升至18.2%，保持加速上行趋势。</w:t>
      </w:r>
    </w:p>
    <w:p>
      <w:r>
        <w:rPr>
          <w:rFonts w:ascii="等线(中文正文)" w:hAnsi="等线(中文正文)" w:cs="等线(中文正文)" w:eastAsia="等线(中文正文)"/>
          <w:b w:val="false"/>
          <w:i w:val="false"/>
          <w:sz w:val="20"/>
        </w:rPr>
        <w:t/>
      </w:r>
    </w:p>
    <w:p>
      <w:pPr>
        <w:pStyle w:val="ab"/>
      </w:pPr>
      <w:r>
        <w:t>发言人1 问：TMT行情交易集中度高、估值贵，是否会影响其中期判断？</w:t>
      </w:r>
    </w:p>
    <w:p>
      <w:r>
        <w:rPr>
          <w:rFonts w:ascii="等线(中文正文)" w:hAnsi="等线(中文正文)" w:cs="等线(中文正文)" w:eastAsia="等线(中文正文)"/>
          <w:b w:val="false"/>
          <w:i w:val="false"/>
          <w:sz w:val="20"/>
        </w:rPr>
        <w:t>发言人1 答：虽然TMT行情交易集中度高、估值较高，但从中期趋势来看，它仍受到紧缩预期的影响。而紧缩预期通常由生产需求加持导致，目前工业企业盈利增速仍在上行趋势中，且K型分化现象明显，与以往不同。</w:t>
      </w:r>
    </w:p>
    <w:p>
      <w:r>
        <w:rPr>
          <w:rFonts w:ascii="等线(中文正文)" w:hAnsi="等线(中文正文)" w:cs="等线(中文正文)" w:eastAsia="等线(中文正文)"/>
          <w:b w:val="false"/>
          <w:i w:val="false"/>
          <w:sz w:val="20"/>
        </w:rPr>
        <w:t/>
      </w:r>
    </w:p>
    <w:p>
      <w:pPr>
        <w:pStyle w:val="ab"/>
      </w:pPr>
      <w:r>
        <w:t>发言人1 问：如何判断金融领域所谓的“天气”（行情）增速回落的信号？</w:t>
      </w:r>
    </w:p>
    <w:p>
      <w:r>
        <w:rPr>
          <w:rFonts w:ascii="等线(中文正文)" w:hAnsi="等线(中文正文)" w:cs="等线(中文正文)" w:eastAsia="等线(中文正文)"/>
          <w:b w:val="false"/>
          <w:i w:val="false"/>
          <w:sz w:val="20"/>
        </w:rPr>
        <w:t>发言人1 答：判断“天气”增速回落的信号需要结合当前环比改善速度。目前来看，没有明显的见顶信号，国内半导体产量增速开始进入加速上行周期，与国产算力芯片技术突破和国内大规模开展算力网络建设有关。预计八月份或2027年二月份可能出现景气度高点，但产业链供给受限可能导致增速无法进一步加速。</w:t>
      </w:r>
    </w:p>
    <w:p>
      <w:r>
        <w:rPr>
          <w:rFonts w:ascii="等线(中文正文)" w:hAnsi="等线(中文正文)" w:cs="等线(中文正文)" w:eastAsia="等线(中文正文)"/>
          <w:b w:val="false"/>
          <w:i w:val="false"/>
          <w:sz w:val="20"/>
        </w:rPr>
        <w:t/>
      </w:r>
    </w:p>
    <w:p>
      <w:pPr>
        <w:pStyle w:val="ab"/>
      </w:pPr>
      <w:r>
        <w:t>发言人1 问：在当前市场环境下，波段操作是否能够获得更大超额收益，以及如何理解工业企业营业成本下降的原因？</w:t>
      </w:r>
    </w:p>
    <w:p>
      <w:r>
        <w:rPr>
          <w:rFonts w:ascii="等线(中文正文)" w:hAnsi="等线(中文正文)" w:cs="等线(中文正文)" w:eastAsia="等线(中文正文)"/>
          <w:b w:val="false"/>
          <w:i w:val="false"/>
          <w:sz w:val="20"/>
        </w:rPr>
        <w:t>发言人1 答：如果交易做得好，确实可以通过波段操作获取较大超额收益，但也存在踏空的风险。实现完美的高买低卖、高卖低买操作难度较大，不如把握住程序交易的机会。工业企业营业成本下降的原因值得深究，可能是由于管理水平提高或AI技术带来的费用下降。</w:t>
      </w:r>
    </w:p>
    <w:p>
      <w:r>
        <w:rPr>
          <w:rFonts w:ascii="等线(中文正文)" w:hAnsi="等线(中文正文)" w:cs="等线(中文正文)" w:eastAsia="等线(中文正文)"/>
          <w:b w:val="false"/>
          <w:i w:val="false"/>
          <w:sz w:val="20"/>
        </w:rPr>
        <w:t/>
      </w:r>
    </w:p>
    <w:p>
      <w:pPr>
        <w:pStyle w:val="ab"/>
      </w:pPr>
      <w:r>
        <w:t>发言人1 问：当前盈利增速的主要驱动因素是什么？如何看待上游资源品的表现以及其对市场的影响？</w:t>
      </w:r>
    </w:p>
    <w:p>
      <w:r>
        <w:rPr>
          <w:rFonts w:ascii="等线(中文正文)" w:hAnsi="等线(中文正文)" w:cs="等线(中文正文)" w:eastAsia="等线(中文正文)"/>
          <w:b w:val="false"/>
          <w:i w:val="false"/>
          <w:sz w:val="20"/>
        </w:rPr>
        <w:t>发言人1 答：TMT和上游资源品是整个企业盈利增速的主要驱动因素，而其他领域的改善并不全面，仅呈现结构性好转。上游资源品表现强劲，是增速最高的领域之一。在美联储议息会议落地后，若黄金等贵金属价格下跌释放宽松预期，资源股可能会成为最优选择，尤其是当全球流动性缓和时，有色金属和大型上市公司的表现值得关注。</w:t>
      </w:r>
    </w:p>
    <w:p>
      <w:r>
        <w:rPr>
          <w:rFonts w:ascii="等线(中文正文)" w:hAnsi="等线(中文正文)" w:cs="等线(中文正文)" w:eastAsia="等线(中文正文)"/>
          <w:b w:val="false"/>
          <w:i w:val="false"/>
          <w:sz w:val="20"/>
        </w:rPr>
        <w:t/>
      </w:r>
    </w:p>
    <w:p>
      <w:pPr>
        <w:pStyle w:val="ab"/>
      </w:pPr>
      <w:r>
        <w:t>发言人1 问：当前哪些行业的增速较高？</w:t>
      </w:r>
    </w:p>
    <w:p>
      <w:r>
        <w:rPr>
          <w:rFonts w:ascii="等线(中文正文)" w:hAnsi="等线(中文正文)" w:cs="等线(中文正文)" w:eastAsia="等线(中文正文)"/>
          <w:b w:val="false"/>
          <w:i w:val="false"/>
          <w:sz w:val="20"/>
        </w:rPr>
        <w:t>发言人1 答：增速较高的领域集中在上游化纤、有色、化工、造纸、设备制造等行业，而景区等行业表现一般。整体上，K型复苏行情在这些领域进一步强化。</w:t>
      </w:r>
    </w:p>
    <w:p>
      <w:r>
        <w:rPr>
          <w:rFonts w:ascii="等线(中文正文)" w:hAnsi="等线(中文正文)" w:cs="等线(中文正文)" w:eastAsia="等线(中文正文)"/>
          <w:b w:val="false"/>
          <w:i w:val="false"/>
          <w:sz w:val="20"/>
        </w:rPr>
        <w:t/>
      </w:r>
    </w:p>
    <w:p>
      <w:pPr>
        <w:pStyle w:val="ab"/>
      </w:pPr>
      <w:r>
        <w:t>发言人1 问：政策变化对市场有哪些关键影响？</w:t>
      </w:r>
    </w:p>
    <w:p>
      <w:r>
        <w:rPr>
          <w:rFonts w:ascii="等线(中文正文)" w:hAnsi="等线(中文正文)" w:cs="等线(中文正文)" w:eastAsia="等线(中文正文)"/>
          <w:b w:val="false"/>
          <w:i w:val="false"/>
          <w:sz w:val="20"/>
        </w:rPr>
        <w:t>发言人1 答：近期反内卷政策成为政策重点，类似于十年前供给侧改革的突然提速。若该政策发力，相关领域如煤炭、钢铁、碳酸锂、工业硅等价格可能出现大幅反弹，值得密切关注。</w:t>
      </w:r>
    </w:p>
    <w:p>
      <w:r>
        <w:rPr>
          <w:rFonts w:ascii="等线(中文正文)" w:hAnsi="等线(中文正文)" w:cs="等线(中文正文)" w:eastAsia="等线(中文正文)"/>
          <w:b w:val="false"/>
          <w:i w:val="false"/>
          <w:sz w:val="20"/>
        </w:rPr>
        <w:t/>
      </w:r>
    </w:p>
    <w:p>
      <w:pPr>
        <w:pStyle w:val="ab"/>
      </w:pPr>
      <w:r>
        <w:t>发言人1 问：对于IPO对流动性的扰动有何看法？</w:t>
      </w:r>
    </w:p>
    <w:p>
      <w:r>
        <w:rPr>
          <w:rFonts w:ascii="等线(中文正文)" w:hAnsi="等线(中文正文)" w:cs="等线(中文正文)" w:eastAsia="等线(中文正文)"/>
          <w:b w:val="false"/>
          <w:i w:val="false"/>
          <w:sz w:val="20"/>
        </w:rPr>
        <w:t>发言人1 答：市场担忧大型IPO（如长兴）会对流动性产生扰动，但实际上现有市场容量足够大，日均成交量高达3万亿，单个IPO对流动性的影响有限。真正的挑战在于一年之后PE/VC解禁时对流动性的冲击，而非IPO上市之时。</w:t>
      </w:r>
    </w:p>
    <w:p>
      <w:r>
        <w:rPr>
          <w:rFonts w:ascii="等线(中文正文)" w:hAnsi="等线(中文正文)" w:cs="等线(中文正文)" w:eastAsia="等线(中文正文)"/>
          <w:b w:val="false"/>
          <w:i w:val="false"/>
          <w:sz w:val="20"/>
        </w:rPr>
        <w:t/>
      </w:r>
    </w:p>
    <w:p>
      <w:pPr>
        <w:pStyle w:val="ab"/>
      </w:pPr>
      <w:r>
        <w:t>发言人1 问：大型IPO与市场行情的关系是怎样的？</w:t>
      </w:r>
    </w:p>
    <w:p>
      <w:r>
        <w:rPr>
          <w:rFonts w:ascii="等线(中文正文)" w:hAnsi="等线(中文正文)" w:cs="等线(中文正文)" w:eastAsia="等线(中文正文)"/>
          <w:b w:val="false"/>
          <w:i w:val="false"/>
          <w:sz w:val="20"/>
        </w:rPr>
        <w:t>发言人1 答：大型IPO与市场指数高点并无必然联系。大型IPO前后确实会有资金面的扰动，但拉长来看，对指数的影响并不大。真正需要担忧的是大型IPO之后一年左右的时间，产业资本减持规模较大时可能对市场流动性产生较大冲击。</w:t>
      </w:r>
    </w:p>
    <w:p>
      <w:r>
        <w:rPr>
          <w:rFonts w:ascii="等线(中文正文)" w:hAnsi="等线(中文正文)" w:cs="等线(中文正文)" w:eastAsia="等线(中文正文)"/>
          <w:b w:val="false"/>
          <w:i w:val="false"/>
          <w:sz w:val="20"/>
        </w:rPr>
        <w:t/>
      </w:r>
    </w:p>
    <w:p>
      <w:pPr>
        <w:pStyle w:val="ab"/>
      </w:pPr>
      <w:r>
        <w:t>发言人1 问：在过去的119年到2021年中，减持量的变化趋势如何？是否达到一个显著增加的程度？</w:t>
      </w:r>
    </w:p>
    <w:p>
      <w:r>
        <w:rPr>
          <w:rFonts w:ascii="等线(中文正文)" w:hAnsi="等线(中文正文)" w:cs="等线(中文正文)" w:eastAsia="等线(中文正文)"/>
          <w:b w:val="false"/>
          <w:i w:val="false"/>
          <w:sz w:val="20"/>
        </w:rPr>
        <w:t>发言人1 答：每个月的减持量并没有明显增大，现在减持量还未达到2015年和2025年9月时的减持规模。整体上，由于国九条后实行了投资与减持的总量和结构控制，所以不必过于担心大幅减持出现。</w:t>
      </w:r>
    </w:p>
    <w:p>
      <w:r>
        <w:rPr>
          <w:rFonts w:ascii="等线(中文正文)" w:hAnsi="等线(中文正文)" w:cs="等线(中文正文)" w:eastAsia="等线(中文正文)"/>
          <w:b w:val="false"/>
          <w:i w:val="false"/>
          <w:sz w:val="20"/>
        </w:rPr>
        <w:t/>
      </w:r>
    </w:p>
    <w:p>
      <w:pPr>
        <w:pStyle w:val="ab"/>
      </w:pPr>
      <w:r>
        <w:t>发言人1 问：天量减持的现象对市场有何影响？</w:t>
      </w:r>
    </w:p>
    <w:p>
      <w:r>
        <w:rPr>
          <w:rFonts w:ascii="等线(中文正文)" w:hAnsi="等线(中文正文)" w:cs="等线(中文正文)" w:eastAsia="等线(中文正文)"/>
          <w:b w:val="false"/>
          <w:i w:val="false"/>
          <w:sz w:val="20"/>
        </w:rPr>
        <w:t>发言人1 答：如果出现类似2020年12月或2021年12月那样的大规模减持，可能是由于IPO提速导致减持规模暂时放大。目前并未出现IPO减持规模明显增大的情况，因此不能将其作为看空的理由。</w:t>
      </w:r>
    </w:p>
    <w:p>
      <w:r>
        <w:rPr>
          <w:rFonts w:ascii="等线(中文正文)" w:hAnsi="等线(中文正文)" w:cs="等线(中文正文)" w:eastAsia="等线(中文正文)"/>
          <w:b w:val="false"/>
          <w:i w:val="false"/>
          <w:sz w:val="20"/>
        </w:rPr>
        <w:t/>
      </w:r>
    </w:p>
    <w:p>
      <w:pPr>
        <w:pStyle w:val="ab"/>
      </w:pPr>
      <w:r>
        <w:t>发言人1 问：ETF重要机构投资者的减持行为对市场有何影响？</w:t>
      </w:r>
    </w:p>
    <w:p>
      <w:r>
        <w:rPr>
          <w:rFonts w:ascii="等线(中文正文)" w:hAnsi="等线(中文正文)" w:cs="等线(中文正文)" w:eastAsia="等线(中文正文)"/>
          <w:b w:val="false"/>
          <w:i w:val="false"/>
          <w:sz w:val="20"/>
        </w:rPr>
        <w:t>发言人1 答：ETF的重要机构投资者在减持时，如果能够控制节奏，可能会使市场以更平稳的方式运行，避免大幅波动。尽管这可能让一些短期投资者感到不满，但从长远看，有利于形成一个更加理性的市场环境。</w:t>
      </w:r>
    </w:p>
    <w:p>
      <w:r>
        <w:rPr>
          <w:rFonts w:ascii="等线(中文正文)" w:hAnsi="等线(中文正文)" w:cs="等线(中文正文)" w:eastAsia="等线(中文正文)"/>
          <w:b w:val="false"/>
          <w:i w:val="false"/>
          <w:sz w:val="20"/>
        </w:rPr>
        <w:t/>
      </w:r>
    </w:p>
    <w:p>
      <w:pPr>
        <w:pStyle w:val="ab"/>
      </w:pPr>
      <w:r>
        <w:t>发言人1 问：目前A股市场的投资策略应该是什么样的？</w:t>
      </w:r>
    </w:p>
    <w:p>
      <w:r>
        <w:rPr>
          <w:rFonts w:ascii="等线(中文正文)" w:hAnsi="等线(中文正文)" w:cs="等线(中文正文)" w:eastAsia="等线(中文正文)"/>
          <w:b w:val="false"/>
          <w:i w:val="false"/>
          <w:sz w:val="20"/>
        </w:rPr>
        <w:t>发言人1 答：当前A股呈现景气结构上行、盈利增速中枢上移、K型分化的格局，行业分化严重。建议拥抱和持续持有上行和繁荣期的股票，同时布局左侧下行尾声和中心期的行业股票。</w:t>
      </w:r>
    </w:p>
    <w:p>
      <w:r>
        <w:rPr>
          <w:rFonts w:ascii="等线(中文正文)" w:hAnsi="等线(中文正文)" w:cs="等线(中文正文)" w:eastAsia="等线(中文正文)"/>
          <w:b w:val="false"/>
          <w:i w:val="false"/>
          <w:sz w:val="20"/>
        </w:rPr>
        <w:t/>
      </w:r>
    </w:p>
    <w:p>
      <w:pPr>
        <w:pStyle w:val="ab"/>
      </w:pPr>
      <w:r>
        <w:t>发言人1 问：当前重要机构投资者流出后，市场反应如何？</w:t>
      </w:r>
    </w:p>
    <w:p>
      <w:r>
        <w:rPr>
          <w:rFonts w:ascii="等线(中文正文)" w:hAnsi="等线(中文正文)" w:cs="等线(中文正文)" w:eastAsia="等线(中文正文)"/>
          <w:b w:val="false"/>
          <w:i w:val="false"/>
          <w:sz w:val="20"/>
        </w:rPr>
        <w:t>发言人1 答：流出之后，规模逐渐下降，而在6月份时，尽管指数未涨，但ETF反而出现大幅流入，支撑了市场关键支撑位。若6月中下旬指数仍在4200点附近，可能再次面临净流入压力，指数上涨空间有望进一步打开。</w:t>
      </w:r>
    </w:p>
    <w:p>
      <w:r>
        <w:rPr>
          <w:rFonts w:ascii="等线(中文正文)" w:hAnsi="等线(中文正文)" w:cs="等线(中文正文)" w:eastAsia="等线(中文正文)"/>
          <w:b w:val="false"/>
          <w:i w:val="false"/>
          <w:sz w:val="20"/>
        </w:rPr>
        <w:t/>
      </w:r>
    </w:p>
    <w:p>
      <w:pPr>
        <w:pStyle w:val="ab"/>
      </w:pPr>
      <w:r>
        <w:t>发言人1 问：美联储货币政策对未来A股有何影响？</w:t>
      </w:r>
    </w:p>
    <w:p>
      <w:r>
        <w:rPr>
          <w:rFonts w:ascii="等线(中文正文)" w:hAnsi="等线(中文正文)" w:cs="等线(中文正文)" w:eastAsia="等线(中文正文)"/>
          <w:b w:val="false"/>
          <w:i w:val="false"/>
          <w:sz w:val="20"/>
        </w:rPr>
        <w:t>发言人1 答：尽管美联储货币政策对A股直接影响有限，但其加息降息决策会影响全球市场情绪，从而影响A股。例如，近期加息概率提升可能导致港股和A股调整，而美联储主席沃什的政策立场及缩表计划对市场尤为关键。</w:t>
      </w:r>
    </w:p>
    <w:p>
      <w:r>
        <w:rPr>
          <w:rFonts w:ascii="等线(中文正文)" w:hAnsi="等线(中文正文)" w:cs="等线(中文正文)" w:eastAsia="等线(中文正文)"/>
          <w:b w:val="false"/>
          <w:i w:val="false"/>
          <w:sz w:val="20"/>
        </w:rPr>
        <w:t/>
      </w:r>
    </w:p>
    <w:p>
      <w:pPr>
        <w:pStyle w:val="ab"/>
      </w:pPr>
      <w:r>
        <w:t>发言人1 问：如何看待美国中期选举前后美联储的货币政策窗口期？</w:t>
      </w:r>
    </w:p>
    <w:p>
      <w:r>
        <w:rPr>
          <w:rFonts w:ascii="等线(中文正文)" w:hAnsi="等线(中文正文)" w:cs="等线(中文正文)" w:eastAsia="等线(中文正文)"/>
          <w:b w:val="false"/>
          <w:i w:val="false"/>
          <w:sz w:val="20"/>
        </w:rPr>
        <w:t>发言人1 答：如果沃什上台后首次美联储会议不表达降息意愿，并且在中期选举前维持紧缩货币政策，可能会导致美元走弱，金银等板块受益，而美股可能出现大跌，从而给A股带来负面影响。</w:t>
      </w:r>
    </w:p>
    <w:p>
      <w:r>
        <w:rPr>
          <w:rFonts w:ascii="等线(中文正文)" w:hAnsi="等线(中文正文)" w:cs="等线(中文正文)" w:eastAsia="等线(中文正文)"/>
          <w:b w:val="false"/>
          <w:i w:val="false"/>
          <w:sz w:val="20"/>
        </w:rPr>
        <w:t/>
      </w:r>
    </w:p>
    <w:p>
      <w:pPr>
        <w:pStyle w:val="ab"/>
      </w:pPr>
      <w:r>
        <w:t>发言人1 问：Mini Max要在国内A股上市，它的上市辅导阶段意味着什么？</w:t>
      </w:r>
    </w:p>
    <w:p>
      <w:r>
        <w:rPr>
          <w:rFonts w:ascii="等线(中文正文)" w:hAnsi="等线(中文正文)" w:cs="等线(中文正文)" w:eastAsia="等线(中文正文)"/>
          <w:b w:val="false"/>
          <w:i w:val="false"/>
          <w:sz w:val="20"/>
        </w:rPr>
        <w:t>发言人1 答：Mini Max在A股进行上市辅导，意味着监管层已经认可了其AI商业模式的落地。就像移动联通开始推出套餐服务一样，这象征着AI商业模式正在加速落地。Mini Max在A股上市辅导，可能是AI商业模式成功落地的一个重要信号。</w:t>
      </w:r>
    </w:p>
    <w:p>
      <w:r>
        <w:rPr>
          <w:rFonts w:ascii="等线(中文正文)" w:hAnsi="等线(中文正文)" w:cs="等线(中文正文)" w:eastAsia="等线(中文正文)"/>
          <w:b w:val="false"/>
          <w:i w:val="false"/>
          <w:sz w:val="20"/>
        </w:rPr>
        <w:t/>
      </w:r>
    </w:p>
    <w:p>
      <w:pPr>
        <w:pStyle w:val="ab"/>
      </w:pPr>
      <w:r>
        <w:t>发言人1 问：通常情况下，公司会在什么时候最容易获批IPO呢？</w:t>
      </w:r>
    </w:p>
    <w:p>
      <w:r>
        <w:rPr>
          <w:rFonts w:ascii="等线(中文正文)" w:hAnsi="等线(中文正文)" w:cs="等线(中文正文)" w:eastAsia="等线(中文正文)"/>
          <w:b w:val="false"/>
          <w:i w:val="false"/>
          <w:sz w:val="20"/>
        </w:rPr>
        <w:t>发言人1 答：公司通常在盈利加速上行的时候最容易获批IPO。因为此时不仅能够获得更好的定价，还能拿到较高的估值。例如长兴在IPO时正处于盈利增速最高期，因此更容易得到较高的定价和估值。</w:t>
      </w:r>
    </w:p>
    <w:p>
      <w:r>
        <w:rPr>
          <w:rFonts w:ascii="等线(中文正文)" w:hAnsi="等线(中文正文)" w:cs="等线(中文正文)" w:eastAsia="等线(中文正文)"/>
          <w:b w:val="false"/>
          <w:i w:val="false"/>
          <w:sz w:val="20"/>
        </w:rPr>
        <w:t/>
      </w:r>
    </w:p>
    <w:p>
      <w:pPr>
        <w:pStyle w:val="ab"/>
      </w:pPr>
      <w:r>
        <w:t>发言人1 问：港股资金净流出和南向资金流出预示着什么？</w:t>
      </w:r>
    </w:p>
    <w:p>
      <w:r>
        <w:rPr>
          <w:rFonts w:ascii="等线(中文正文)" w:hAnsi="等线(中文正文)" w:cs="等线(中文正文)" w:eastAsia="等线(中文正文)"/>
          <w:b w:val="false"/>
          <w:i w:val="false"/>
          <w:sz w:val="20"/>
        </w:rPr>
        <w:t>发言人1 答：港股资金净流出以及南向资金的流出，可能是一个市场情绪见底的信号。当资金由乐观转为悲观，甚至出现净减持情况时，这往往代表市场在某个位置附近出现了极端情绪的表现。</w:t>
      </w:r>
    </w:p>
    <w:p>
      <w:r>
        <w:rPr>
          <w:rFonts w:ascii="等线(中文正文)" w:hAnsi="等线(中文正文)" w:cs="等线(中文正文)" w:eastAsia="等线(中文正文)"/>
          <w:b w:val="false"/>
          <w:i w:val="false"/>
          <w:sz w:val="20"/>
        </w:rPr>
        <w:t/>
      </w:r>
    </w:p>
    <w:p>
      <w:pPr>
        <w:pStyle w:val="ab"/>
      </w:pPr>
      <w:r>
        <w:t>发言人1 问：恒生科技指数与A股双创指数的比值有何重要性？A股和港股的未来走势及投资机会如何？</w:t>
      </w:r>
    </w:p>
    <w:p>
      <w:r>
        <w:rPr>
          <w:rFonts w:ascii="等线(中文正文)" w:hAnsi="等线(中文正文)" w:cs="等线(中文正文)" w:eastAsia="等线(中文正文)"/>
          <w:b w:val="false"/>
          <w:i w:val="false"/>
          <w:sz w:val="20"/>
        </w:rPr>
        <w:t>发言人1 答：恒生科技指数与A股双创指数的比值回到2012年5月以来最低点，这表明港股估值已经足够便宜，并且在这一轮行情中，恒生科技指数领先于A股见底。比价效应下，港股尤其是恒生科技，在资金南下投资的选择中更具吸引力。A股目前处在上行趋势第三阶段，盈利上行趋势尚未见到拐点，指数仍在创新高。资金链方面，随着美联储加息预期减弱和重要机构投资减持压力减轻，资金链有望重新回到上行趋势，但流入将呈现结构性特点，聚焦高景气度领域，如海外算力、国产算力、有色、煤炭等赛道。港股已现底部特征，反弹指日可待。</w:t>
      </w:r>
    </w:p>
    <w:p>
      <w:r>
        <w:rPr>
          <w:rFonts w:ascii="等线(中文正文)" w:hAnsi="等线(中文正文)" w:cs="等线(中文正文)" w:eastAsia="等线(中文正文)"/>
          <w:b w:val="false"/>
          <w:i w:val="false"/>
          <w:sz w:val="20"/>
        </w:rPr>
        <w:t/>
      </w:r>
    </w:p>
    <w:p>
      <w:pPr>
        <w:pStyle w:val="ab"/>
      </w:pPr>
      <w:r>
        <w:t>发言人1 问：目前A股的整体风格和行业主线是什么？</w:t>
      </w:r>
    </w:p>
    <w:p>
      <w:r>
        <w:rPr>
          <w:rFonts w:ascii="等线(中文正文)" w:hAnsi="等线(中文正文)" w:cs="等线(中文正文)" w:eastAsia="等线(中文正文)"/>
          <w:b w:val="false"/>
          <w:i w:val="false"/>
          <w:sz w:val="20"/>
        </w:rPr>
        <w:t>发言人1 答：目前A股整体呈现上行趋势，盈利上行是主要驱动因素。行业主线方面，建议关注电子、电力设备、机械设备、汽车、军工、基础化工和有色金属等行业。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2026-05-31T15:10:27Z</dcterms:created>
  <dc:creator>Apache POI</dc:creator>
</cp:coreProperties>
</file>