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招商研究｜6月金股会议 - 月末点金一小时 260531_导读</w:t>
      </w:r>
    </w:p>
    <w:p>
      <w:pPr>
        <w:pStyle w:val="a0"/>
        <w:jc w:val="center"/>
      </w:pPr>
      <w:r>
        <w:t>2026年05月31日 23:01</w:t>
      </w:r>
    </w:p>
    <w:p>
      <w:pPr>
        <w:pStyle w:val="a7"/>
      </w:pPr>
      <w:r>
        <w:t>关键词</w:t>
      </w:r>
    </w:p>
    <w:p>
      <w:r>
        <w:rPr>
          <w:rFonts w:ascii="等线(中文正文)" w:hAnsi="等线(中文正文)" w:cs="等线(中文正文)" w:eastAsia="等线(中文正文)"/>
          <w:b w:val="false"/>
          <w:i w:val="false"/>
          <w:sz w:val="20"/>
        </w:rPr>
        <w:t xml:space="preserve">立讯 PCB 3D打印 AI算力 光模块 汽车业务 新能源 光纤 玻璃基板 陶瓷基板 中国巨石 宁德时代 锂电 储能 宁德 生意科技 高速CCL 亚马逊 中国动力 船用低速机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对话综合分析了多个行业的发展趋势和投资策略，涵盖设备布局、散热技术、北美市场扩张、电缆与液冷算力业务、AI软硬件创新、3D打印、消费电子与PCB需求增长、光模块扩展、超快设备应用以及新材料在光纤、玻璃基板、陶瓷基板中的应用。同时，聚焦新能源行业及A股市场的上行趋势，看好AI、新能源、资源品领域，关注政策驱动、基本面改善与流动性支持。讨论还涉及流动性扰动、海外因素对市场的影响，以及对特定公司如立讯精密、中国巨石、宁德时代的分析，强调市场策略需灵活应对不确定性。</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大足激光业务加速布局与未来展望</w:t>
      </w:r>
    </w:p>
    <w:p>
      <w:r>
        <w:rPr>
          <w:rFonts w:ascii="等线(中文正文)" w:hAnsi="等线(中文正文)" w:cs="等线(中文正文)" w:eastAsia="等线(中文正文)"/>
          <w:b w:val="false"/>
          <w:i w:val="false"/>
          <w:sz w:val="20"/>
        </w:rPr>
        <w:t>对话讨论了大足激光在散热、电缆、3D打印、PCB等领域的业务加速布局，特别强调了AI软硬件创新、3D打印产业化、超快设备在1.6T光模块应用中的进展，以及在光纤、玻璃基板、陶瓷基板等新材料领域的前瞻布局。整体看好大足激光在AI端测与算力共振下的高质量成长，维持强推评级。</w:t>
      </w:r>
    </w:p>
    <w:p>
      <w:r>
        <w:rPr>
          <w:rFonts w:ascii="等线(中文正文)" w:hAnsi="等线(中文正文)" w:cs="等线(中文正文)" w:eastAsia="等线(中文正文)"/>
          <w:b w:val="false"/>
          <w:i w:val="false"/>
          <w:sz w:val="20"/>
        </w:rPr>
        <w:t/>
      </w:r>
    </w:p>
    <w:p>
      <w:pPr>
        <w:pStyle w:val="ab"/>
        <w:numPr>
          <w:numId w:val="2"/>
        </w:numPr>
      </w:pPr>
      <w:r>
        <w:t>03:24 立讯精密业务布局与未来增长潜力分析</w:t>
      </w:r>
    </w:p>
    <w:p>
      <w:r>
        <w:rPr>
          <w:rFonts w:ascii="等线(中文正文)" w:hAnsi="等线(中文正文)" w:cs="等线(中文正文)" w:eastAsia="等线(中文正文)"/>
          <w:b w:val="false"/>
          <w:i w:val="false"/>
          <w:sz w:val="20"/>
        </w:rPr>
        <w:t>对话讨论了立讯精密在消费电子、AI算力、汽车业务等领域的布局与进展，强调其在北美市场的突破、光模块业务的快速发展、智能底盘整合加速以及苹果销量增长带来的利好，预测公司业绩下半年提速，明年大幅增长，当前估值低位，未来股价弹性与上升空间值得期待。</w:t>
      </w:r>
    </w:p>
    <w:p>
      <w:r>
        <w:rPr>
          <w:rFonts w:ascii="等线(中文正文)" w:hAnsi="等线(中文正文)" w:cs="等线(中文正文)" w:eastAsia="等线(中文正文)"/>
          <w:b w:val="false"/>
          <w:i w:val="false"/>
          <w:sz w:val="20"/>
        </w:rPr>
        <w:t/>
      </w:r>
    </w:p>
    <w:p>
      <w:pPr>
        <w:pStyle w:val="ab"/>
        <w:numPr>
          <w:numId w:val="3"/>
        </w:numPr>
      </w:pPr>
      <w:r>
        <w:t>06:36 电子部行业高景气度与需求供给缺口分析</w:t>
      </w:r>
    </w:p>
    <w:p>
      <w:r>
        <w:rPr>
          <w:rFonts w:ascii="等线(中文正文)" w:hAnsi="等线(中文正文)" w:cs="等线(中文正文)" w:eastAsia="等线(中文正文)"/>
          <w:b w:val="false"/>
          <w:i w:val="false"/>
          <w:sz w:val="20"/>
        </w:rPr>
        <w:t>对话重点讨论了电子部行业当前的高景气度，指出价格持续上涨且预计未来需求供给缺口将持续存在。行业分析表明，AI电路需求快速放量，尤其是新机型推出后，需求缺口将进一步扩大。中长期看，下游厂商对上游物料的重视程度增加，头部电子部厂商有望受益于产业趋势，寻找有规模和扩展能力的企业成为重要策略。</w:t>
      </w:r>
    </w:p>
    <w:p>
      <w:r>
        <w:rPr>
          <w:rFonts w:ascii="等线(中文正文)" w:hAnsi="等线(中文正文)" w:cs="等线(中文正文)" w:eastAsia="等线(中文正文)"/>
          <w:b w:val="false"/>
          <w:i w:val="false"/>
          <w:sz w:val="20"/>
        </w:rPr>
        <w:t/>
      </w:r>
    </w:p>
    <w:p>
      <w:pPr>
        <w:pStyle w:val="ab"/>
        <w:numPr>
          <w:numId w:val="4"/>
        </w:numPr>
      </w:pPr>
      <w:r>
        <w:t>10:27 中国趋势企业估值低估与未来增长潜力分析</w:t>
      </w:r>
    </w:p>
    <w:p>
      <w:r>
        <w:rPr>
          <w:rFonts w:ascii="等线(中文正文)" w:hAnsi="等线(中文正文)" w:cs="等线(中文正文)" w:eastAsia="等线(中文正文)"/>
          <w:b w:val="false"/>
          <w:i w:val="false"/>
          <w:sz w:val="20"/>
        </w:rPr>
        <w:t>对话讨论了中国趋势企业当前估值被低估的现象，指出其在电子产业中的低PB和B端估值，主要由于市场对其依赖传统业务的误解。然而，随着下游需求的爆发和产能准备，公司有望在楼DK一代、二代及T部发展中取得进展，与下游CT厂商合作加强，预示着估值修复和潜在的戴维斯双击行情。同时，提到了宁德时代在供应链价格管控上的优势，特别是在锂电原材料价格上行的背景下，通过内部供应策略稳定成本。</w:t>
      </w:r>
    </w:p>
    <w:p>
      <w:r>
        <w:rPr>
          <w:rFonts w:ascii="等线(中文正文)" w:hAnsi="等线(中文正文)" w:cs="等线(中文正文)" w:eastAsia="等线(中文正文)"/>
          <w:b w:val="false"/>
          <w:i w:val="false"/>
          <w:sz w:val="20"/>
        </w:rPr>
        <w:t/>
      </w:r>
    </w:p>
    <w:p>
      <w:pPr>
        <w:pStyle w:val="ab"/>
        <w:numPr>
          <w:numId w:val="5"/>
        </w:numPr>
      </w:pPr>
      <w:r>
        <w:t>13:18 宁德时代供应链掌控力与市场需求分析</w:t>
      </w:r>
    </w:p>
    <w:p>
      <w:r>
        <w:rPr>
          <w:rFonts w:ascii="等线(中文正文)" w:hAnsi="等线(中文正文)" w:cs="等线(中文正文)" w:eastAsia="等线(中文正文)"/>
          <w:b w:val="false"/>
          <w:i w:val="false"/>
          <w:sz w:val="20"/>
        </w:rPr>
        <w:t>对话深入探讨了宁德时代在供应链上的强大掌控力，以及车端和储能需求的持续增长态势。提及宁德时代对价格波动的隔离能力、下游需求的快速增长，以及行业估值处于低位的现状，预测随着下半年景气度的释放，宁德时代估值有望进一步提升。</w:t>
      </w:r>
    </w:p>
    <w:p>
      <w:r>
        <w:rPr>
          <w:rFonts w:ascii="等线(中文正文)" w:hAnsi="等线(中文正文)" w:cs="等线(中文正文)" w:eastAsia="等线(中文正文)"/>
          <w:b w:val="false"/>
          <w:i w:val="false"/>
          <w:sz w:val="20"/>
        </w:rPr>
        <w:t/>
      </w:r>
    </w:p>
    <w:p>
      <w:pPr>
        <w:pStyle w:val="ab"/>
        <w:numPr>
          <w:numId w:val="6"/>
        </w:numPr>
      </w:pPr>
      <w:r>
        <w:t>17:31 生意科技：高速CCL市场龙头，业绩爆发潜力巨大</w:t>
      </w:r>
    </w:p>
    <w:p>
      <w:r>
        <w:rPr>
          <w:rFonts w:ascii="等线(中文正文)" w:hAnsi="等线(中文正文)" w:cs="等线(中文正文)" w:eastAsia="等线(中文正文)"/>
          <w:b w:val="false"/>
          <w:i w:val="false"/>
          <w:sz w:val="20"/>
        </w:rPr>
        <w:t>汇报指出，生意科技作为全球高速CCL领域的领军企业，近期业绩超预期，得益于其强大的供应链把控能力和海外算力产品交付能力。公司规划未来三年高速CPR扩展，海外料号实现全突破，有望赶超全球龙头。子公司生益电子在亚马逊业务进展显著，资本开支大，业绩成长趋势良好，整体看好生意科技的市值与业务规模未来表现。</w:t>
      </w:r>
    </w:p>
    <w:p>
      <w:r>
        <w:rPr>
          <w:rFonts w:ascii="等线(中文正文)" w:hAnsi="等线(中文正文)" w:cs="等线(中文正文)" w:eastAsia="等线(中文正文)"/>
          <w:b w:val="false"/>
          <w:i w:val="false"/>
          <w:sz w:val="20"/>
        </w:rPr>
        <w:t/>
      </w:r>
    </w:p>
    <w:p>
      <w:pPr>
        <w:pStyle w:val="ab"/>
        <w:numPr>
          <w:numId w:val="7"/>
        </w:numPr>
      </w:pPr>
      <w:r>
        <w:t>22:37 中国动力行业趋势与订单增长分析</w:t>
      </w:r>
    </w:p>
    <w:p>
      <w:r>
        <w:rPr>
          <w:rFonts w:ascii="等线(中文正文)" w:hAnsi="等线(中文正文)" w:cs="等线(中文正文)" w:eastAsia="等线(中文正文)"/>
          <w:b w:val="false"/>
          <w:i w:val="false"/>
          <w:sz w:val="20"/>
        </w:rPr>
        <w:t>近期，中国动力作为船用低速机生产龙头，其订单量和价随全球新船价格呈现强劲上涨趋势，预示行业持续向好。三月份以来，新船订单结构变化，高价船型占比提升，行业定价水平显著抬高。中国船舶集团表现良好，新造船订单量前瞻指标显示，商运费用居高不下，预示后续新接订单可观。预计下半年至明年上半年，游船订单将持续增长，尤其在主流船型更新换代及黑白油市场融合背景下，将带动更多新老替换，迎来货船订单平台增长。</w:t>
      </w:r>
    </w:p>
    <w:p>
      <w:r>
        <w:rPr>
          <w:rFonts w:ascii="等线(中文正文)" w:hAnsi="等线(中文正文)" w:cs="等线(中文正文)" w:eastAsia="等线(中文正文)"/>
          <w:b w:val="false"/>
          <w:i w:val="false"/>
          <w:sz w:val="20"/>
        </w:rPr>
        <w:t/>
      </w:r>
    </w:p>
    <w:p>
      <w:pPr>
        <w:pStyle w:val="ab"/>
        <w:numPr>
          <w:numId w:val="8"/>
        </w:numPr>
      </w:pPr>
      <w:r>
        <w:t>25:51 中国动力燃气轮机业务增长与出口机遇</w:t>
      </w:r>
    </w:p>
    <w:p>
      <w:r>
        <w:rPr>
          <w:rFonts w:ascii="等线(中文正文)" w:hAnsi="等线(中文正文)" w:cs="等线(中文正文)" w:eastAsia="等线(中文正文)"/>
          <w:b w:val="false"/>
          <w:i w:val="false"/>
          <w:sz w:val="20"/>
        </w:rPr>
        <w:t>对话讨论了中国动力燃气轮机业务的增长，强调了国产燃气电在海外订单上的机遇，特别是油价上涨和海外市场开发加速带来的需求。同时，提到了中国动力在并购重组方面的预期，包括对中船柴油机少数股权的整合和VGD吸收瓦性能MRO业务，这些都可能进一步提升其业务效益。</w:t>
      </w:r>
    </w:p>
    <w:p>
      <w:r>
        <w:rPr>
          <w:rFonts w:ascii="等线(中文正文)" w:hAnsi="等线(中文正文)" w:cs="等线(中文正文)" w:eastAsia="等线(中文正文)"/>
          <w:b w:val="false"/>
          <w:i w:val="false"/>
          <w:sz w:val="20"/>
        </w:rPr>
        <w:t/>
      </w:r>
    </w:p>
    <w:p>
      <w:pPr>
        <w:pStyle w:val="ab"/>
        <w:numPr>
          <w:numId w:val="9"/>
        </w:numPr>
      </w:pPr>
      <w:r>
        <w:t>29:21 铜价分析与金股推荐：安全边际高，易涨难跌</w:t>
      </w:r>
    </w:p>
    <w:p>
      <w:r>
        <w:rPr>
          <w:rFonts w:ascii="等线(中文正文)" w:hAnsi="等线(中文正文)" w:cs="等线(中文正文)" w:eastAsia="等线(中文正文)"/>
          <w:b w:val="false"/>
          <w:i w:val="false"/>
          <w:sz w:val="20"/>
        </w:rPr>
        <w:t>在宏观压力较大的背景下，铜价因市场预期美国进口铜加关税而维持高位，国内下游补货欲望增强，支撑铜价。基于此，紫金矿业因低市盈率被推荐为金股，安全边际高，未来胜率较大。</w:t>
      </w:r>
    </w:p>
    <w:p>
      <w:r>
        <w:rPr>
          <w:rFonts w:ascii="等线(中文正文)" w:hAnsi="等线(中文正文)" w:cs="等线(中文正文)" w:eastAsia="等线(中文正文)"/>
          <w:b w:val="false"/>
          <w:i w:val="false"/>
          <w:sz w:val="20"/>
        </w:rPr>
        <w:t/>
      </w:r>
    </w:p>
    <w:p>
      <w:pPr>
        <w:pStyle w:val="ab"/>
        <w:numPr>
          <w:numId w:val="10"/>
        </w:numPr>
      </w:pPr>
      <w:r>
        <w:t>32:46 光通信行业分析与投资建议</w:t>
      </w:r>
    </w:p>
    <w:p>
      <w:r>
        <w:rPr>
          <w:rFonts w:ascii="等线(中文正文)" w:hAnsi="等线(中文正文)" w:cs="等线(中文正文)" w:eastAsia="等线(中文正文)"/>
          <w:b w:val="false"/>
          <w:i w:val="false"/>
          <w:sz w:val="20"/>
        </w:rPr>
        <w:t>对话深入探讨了光通信行业的发展前景与投资价值，特别强调了光互联板块的高景气度和业绩兑现能力。推荐关注龙头企业及光器件公司，如旭创，因其在2.4T及NPU需求增长下展现出强劲的业绩潜力。此外，未来3到6个月内，随着1.6T光模块需求的可能上修和谷歌NPU订单的增加，行业将持续迎来重要催化，建议投资者把握低估值下的投资机会。</w:t>
      </w:r>
    </w:p>
    <w:p>
      <w:r>
        <w:rPr>
          <w:rFonts w:ascii="等线(中文正文)" w:hAnsi="等线(中文正文)" w:cs="等线(中文正文)" w:eastAsia="等线(中文正文)"/>
          <w:b w:val="false"/>
          <w:i w:val="false"/>
          <w:sz w:val="20"/>
        </w:rPr>
        <w:t/>
      </w:r>
    </w:p>
    <w:p>
      <w:pPr>
        <w:pStyle w:val="ab"/>
        <w:numPr>
          <w:numId w:val="11"/>
        </w:numPr>
      </w:pPr>
      <w:r>
        <w:t>38:22 续创与新医生：光互联领域的投资推荐</w:t>
      </w:r>
    </w:p>
    <w:p>
      <w:r>
        <w:rPr>
          <w:rFonts w:ascii="等线(中文正文)" w:hAnsi="等线(中文正文)" w:cs="等线(中文正文)" w:eastAsia="等线(中文正文)"/>
          <w:b w:val="false"/>
          <w:i w:val="false"/>
          <w:sz w:val="20"/>
        </w:rPr>
        <w:t>续创和新医生作为光互联领域的领军企业，展现出强劲的成长潜力。续创在OCS和芯片级光互联布局清晰，新医生尽管一季度业绩略低于预期，但物料准备充分，尤其在1.6T硅光模块和EML物料供应上取得进展。两者估值相对较低，具有高弹性，随着物料供应改善，业绩爆发力强，尤其是新医生未来业绩增量将显著来自NPU等新产品，成长逻辑明确且业绩爆发性良好。</w:t>
      </w:r>
    </w:p>
    <w:p>
      <w:r>
        <w:rPr>
          <w:rFonts w:ascii="等线(中文正文)" w:hAnsi="等线(中文正文)" w:cs="等线(中文正文)" w:eastAsia="等线(中文正文)"/>
          <w:b w:val="false"/>
          <w:i w:val="false"/>
          <w:sz w:val="20"/>
        </w:rPr>
        <w:t/>
      </w:r>
    </w:p>
    <w:p>
      <w:pPr>
        <w:pStyle w:val="ab"/>
        <w:numPr>
          <w:numId w:val="12"/>
        </w:numPr>
      </w:pPr>
      <w:r>
        <w:t>40:49 恒隆光：光器件领域的明星企业</w:t>
      </w:r>
    </w:p>
    <w:p>
      <w:r>
        <w:rPr>
          <w:rFonts w:ascii="等线(中文正文)" w:hAnsi="等线(中文正文)" w:cs="等线(中文正文)" w:eastAsia="等线(中文正文)"/>
          <w:b w:val="false"/>
          <w:i w:val="false"/>
          <w:sz w:val="20"/>
        </w:rPr>
        <w:t>恒隆光作为北交所上市的光器件公司，其业务涵盖CPO、MPO和光模块等关键领域，展现出强劲的业绩兑现能力和未来增长潜力。公司核心业务在CPO领域，特别是在FAU和MTFA等产品上已通过下游验证并进入规模量产阶段，预计随CPU放量交付将带来显著业绩提升。此外，MPO和光模块业务亦表现优异，新客户开拓和产品结构优化将进一步推动收入增长。整体而言，恒隆光凭借技术储备、客户布局和市场前瞻，成为光器件行业的佼佼者，值得重点关注。</w:t>
      </w:r>
    </w:p>
    <w:p>
      <w:r>
        <w:rPr>
          <w:rFonts w:ascii="等线(中文正文)" w:hAnsi="等线(中文正文)" w:cs="等线(中文正文)" w:eastAsia="等线(中文正文)"/>
          <w:b w:val="false"/>
          <w:i w:val="false"/>
          <w:sz w:val="20"/>
        </w:rPr>
        <w:t/>
      </w:r>
    </w:p>
    <w:p>
      <w:pPr>
        <w:pStyle w:val="ab"/>
        <w:numPr>
          <w:numId w:val="13"/>
        </w:numPr>
      </w:pPr>
      <w:r>
        <w:t>45:30 A股市场分析与六月投资策略</w:t>
      </w:r>
    </w:p>
    <w:p>
      <w:r>
        <w:rPr>
          <w:rFonts w:ascii="等线(中文正文)" w:hAnsi="等线(中文正文)" w:cs="等线(中文正文)" w:eastAsia="等线(中文正文)"/>
          <w:b w:val="false"/>
          <w:i w:val="false"/>
          <w:sz w:val="20"/>
        </w:rPr>
        <w:t>报告分析了A股市场处于第三个上升阶段，由高景气领域如TMT和资源行业驱动，强调不应因市场波动轻易离场。指出AI产业趋势未见拐点，相关领域调整为买入时机。五月中下旬调整由流动性扰动引起，建议关注AI衍生投资机会，如AIPC。</w:t>
      </w:r>
    </w:p>
    <w:p>
      <w:r>
        <w:rPr>
          <w:rFonts w:ascii="等线(中文正文)" w:hAnsi="等线(中文正文)" w:cs="等线(中文正文)" w:eastAsia="等线(中文正文)"/>
          <w:b w:val="false"/>
          <w:i w:val="false"/>
          <w:sz w:val="20"/>
        </w:rPr>
        <w:t/>
      </w:r>
    </w:p>
    <w:p>
      <w:pPr>
        <w:pStyle w:val="ab"/>
        <w:numPr>
          <w:numId w:val="14"/>
        </w:numPr>
      </w:pPr>
      <w:r>
        <w:t>50:57 A股市场流动性与指数走势分析</w:t>
      </w:r>
    </w:p>
    <w:p>
      <w:r>
        <w:rPr>
          <w:rFonts w:ascii="等线(中文正文)" w:hAnsi="等线(中文正文)" w:cs="等线(中文正文)" w:eastAsia="等线(中文正文)"/>
          <w:b w:val="false"/>
          <w:i w:val="false"/>
          <w:sz w:val="20"/>
        </w:rPr>
        <w:t>分析了影响A股市场流动性的三大因素：ETF净流出、美联储加息预期及大型IPO上市。ETF在特定时期可能由流出转为流入，对市场形成支撑；美联储加息虽对全球流动性造成冲击，但市场情绪和政策定调将影响其实际影响；大型IPO上市初期未必拖累市场，一年后的PE/VC解禁期才是关键。整体而言，A股市场有望在六月中旬后迎来流动性压力减轻，推动指数向上趋势。</w:t>
      </w:r>
    </w:p>
    <w:p>
      <w:r>
        <w:rPr>
          <w:rFonts w:ascii="等线(中文正文)" w:hAnsi="等线(中文正文)" w:cs="等线(中文正文)" w:eastAsia="等线(中文正文)"/>
          <w:b w:val="false"/>
          <w:i w:val="false"/>
          <w:sz w:val="20"/>
        </w:rPr>
        <w:t/>
      </w:r>
    </w:p>
    <w:p>
      <w:pPr>
        <w:pStyle w:val="a7"/>
      </w:pPr>
      <w:r>
        <w:t>发言总结</w:t>
      </w:r>
    </w:p>
    <w:p>
      <w:pPr>
        <w:pStyle w:val="ab"/>
        <w:numPr>
          <w:numId w:val="15"/>
        </w:numPr>
      </w:pPr>
      <w:r>
        <w:t>发言人1</w:t>
      </w:r>
    </w:p>
    <w:p>
      <w:r>
        <w:rPr>
          <w:rFonts w:ascii="等线(中文正文)" w:hAnsi="等线(中文正文)" w:cs="等线(中文正文)" w:eastAsia="等线(中文正文)"/>
          <w:b w:val="false"/>
          <w:i w:val="false"/>
          <w:sz w:val="20"/>
        </w:rPr>
        <w:t>讨论了多个行业的发展趋势和公司布局，着重强调了算力液冷业务、3D打印技术产业化、PCB机械钻和超快设备市场、以及新能源、3D打印和光通信领域的未来潜力和增长机会。特别指出北美客户的拓展和散热技术经验将加速算力液冷业务的落地；A客户在AI软硬件创新和消费电子业务的复苏预示着3D打印技术在海洋业的领导地位；并关注了对新材料和光模块应用的前瞻性布局。他推荐了招商电子（包括立讯精密和中国巨石等），基于技术革新、市场份额增长和业务模式创新的优势，看好这些公司在所选领域内的快速增长和科技核心材料相关板块的增长空间。总体而言，他的发言突出了技术创新和市场趋势对业绩增长的推动作用，为投资者提供了深入的行业和公司发展见解。</w:t>
      </w:r>
    </w:p>
    <w:p>
      <w:r>
        <w:rPr>
          <w:rFonts w:ascii="等线(中文正文)" w:hAnsi="等线(中文正文)" w:cs="等线(中文正文)" w:eastAsia="等线(中文正文)"/>
          <w:b w:val="false"/>
          <w:i w:val="false"/>
          <w:sz w:val="20"/>
        </w:rPr>
        <w:t/>
      </w:r>
    </w:p>
    <w:p>
      <w:pPr>
        <w:pStyle w:val="a7"/>
      </w:pPr>
      <w:r>
        <w:t>要点回顾</w:t>
      </w:r>
    </w:p>
    <w:p>
      <w:pPr>
        <w:pStyle w:val="ab"/>
      </w:pPr>
      <w:r>
        <w:t>在设备布局和解决方案方面，大足的电缆业务有何发展趋势？</w:t>
      </w:r>
    </w:p>
    <w:p>
      <w:r>
        <w:rPr>
          <w:rFonts w:ascii="等线(中文正文)" w:hAnsi="等线(中文正文)" w:cs="等线(中文正文)" w:eastAsia="等线(中文正文)"/>
          <w:b w:val="false"/>
          <w:i w:val="false"/>
          <w:sz w:val="20"/>
        </w:rPr>
        <w:t>发言人1：大足的电缆业务正加速设备和解决方案的布局，这有望更快推动整体算力液冷业务的落地。</w:t>
      </w:r>
    </w:p>
    <w:p>
      <w:r>
        <w:rPr>
          <w:rFonts w:ascii="等线(中文正文)" w:hAnsi="等线(中文正文)" w:cs="等线(中文正文)" w:eastAsia="等线(中文正文)"/>
          <w:b w:val="false"/>
          <w:i w:val="false"/>
          <w:sz w:val="20"/>
        </w:rPr>
        <w:t/>
      </w:r>
    </w:p>
    <w:p>
      <w:pPr>
        <w:pStyle w:val="ab"/>
      </w:pPr>
      <w:r>
        <w:t>A客户在AI软硬件创新方面的情况如何，以及对消费电子业务的影响是什么？</w:t>
      </w:r>
    </w:p>
    <w:p>
      <w:r>
        <w:rPr>
          <w:rFonts w:ascii="等线(中文正文)" w:hAnsi="等线(中文正文)" w:cs="等线(中文正文)" w:eastAsia="等线(中文正文)"/>
          <w:b w:val="false"/>
          <w:i w:val="false"/>
          <w:sz w:val="20"/>
        </w:rPr>
        <w:t>发言人1：A客户在26到27年的AI软硬件创新趋势不变，并将继续驱动消费电子业务重回增长通道。特别是3D打印领域，产业化落地进度明确，大足在这一领域的重点发力有望使其成为海洋业领导者，且3DP业务的成长空间可观。</w:t>
      </w:r>
    </w:p>
    <w:p>
      <w:r>
        <w:rPr>
          <w:rFonts w:ascii="等线(中文正文)" w:hAnsi="等线(中文正文)" w:cs="等线(中文正文)" w:eastAsia="等线(中文正文)"/>
          <w:b w:val="false"/>
          <w:i w:val="false"/>
          <w:sz w:val="20"/>
        </w:rPr>
        <w:t/>
      </w:r>
    </w:p>
    <w:p>
      <w:pPr>
        <w:pStyle w:val="ab"/>
      </w:pPr>
      <w:r>
        <w:t>PCB业务的发展情况及未来有哪些增长点？</w:t>
      </w:r>
    </w:p>
    <w:p>
      <w:r>
        <w:rPr>
          <w:rFonts w:ascii="等线(中文正文)" w:hAnsi="等线(中文正文)" w:cs="等线(中文正文)" w:eastAsia="等线(中文正文)"/>
          <w:b w:val="false"/>
          <w:i w:val="false"/>
          <w:sz w:val="20"/>
        </w:rPr>
        <w:t>发言人1：PCB业务中机械钻孔需求强劲，同时1.6T光模块产能扩展带动超快设备需求增长。此外，新技术、新材料的应用将加速超快设备的落地，中长期看，PCB业务在新技术和材料升级上具有较大潜力。</w:t>
      </w:r>
    </w:p>
    <w:p>
      <w:r>
        <w:rPr>
          <w:rFonts w:ascii="等线(中文正文)" w:hAnsi="等线(中文正文)" w:cs="等线(中文正文)" w:eastAsia="等线(中文正文)"/>
          <w:b w:val="false"/>
          <w:i w:val="false"/>
          <w:sz w:val="20"/>
        </w:rPr>
        <w:t/>
      </w:r>
    </w:p>
    <w:p>
      <w:pPr>
        <w:pStyle w:val="ab"/>
      </w:pPr>
      <w:r>
        <w:t>大足在光纤、玻璃基板和陶瓷基板等方向有哪些前瞻布局？</w:t>
      </w:r>
    </w:p>
    <w:p>
      <w:r>
        <w:rPr>
          <w:rFonts w:ascii="等线(中文正文)" w:hAnsi="等线(中文正文)" w:cs="等线(中文正文)" w:eastAsia="等线(中文正文)"/>
          <w:b w:val="false"/>
          <w:i w:val="false"/>
          <w:sz w:val="20"/>
        </w:rPr>
        <w:t>发言人1：大足通过收购加拿大相关公司及取得光纤专利等方式进行前瞻布局，光纤业务可能取得突破；新材料体系如玻璃基板和陶瓷基板的应用开始规模化，大足有望从中受益。此外，新能源业务也保持向上趋势。</w:t>
      </w:r>
    </w:p>
    <w:p>
      <w:r>
        <w:rPr>
          <w:rFonts w:ascii="等线(中文正文)" w:hAnsi="等线(中文正文)" w:cs="等线(中文正文)" w:eastAsia="等线(中文正文)"/>
          <w:b w:val="false"/>
          <w:i w:val="false"/>
          <w:sz w:val="20"/>
        </w:rPr>
        <w:t/>
      </w:r>
    </w:p>
    <w:p>
      <w:pPr>
        <w:pStyle w:val="ab"/>
      </w:pPr>
      <w:r>
        <w:t>立讯在消费电子、AI算力以及汽车业务方面的表现如何？</w:t>
      </w:r>
    </w:p>
    <w:p>
      <w:r>
        <w:rPr>
          <w:rFonts w:ascii="等线(中文正文)" w:hAnsi="等线(中文正文)" w:cs="等线(中文正文)" w:eastAsia="等线(中文正文)"/>
          <w:b w:val="false"/>
          <w:i w:val="false"/>
          <w:sz w:val="20"/>
        </w:rPr>
        <w:t>发言人1：立讯在原有消费电子业务上表现良好，特别是在苹果销量增长和安卓供应链紧张背景下市场份额扩大。AI算力布局方面有不错弹性，光模块业务取得显著进展，与北美核心客户及马贝尔的战略合作确保了关键物料供应。汽车业务盈利提升且布局加速，收购南宁和金僖国际将进一步整合智能底盘业务，预计下半年至明年业绩将有大幅提升。</w:t>
      </w:r>
    </w:p>
    <w:p>
      <w:r>
        <w:rPr>
          <w:rFonts w:ascii="等线(中文正文)" w:hAnsi="等线(中文正文)" w:cs="等线(中文正文)" w:eastAsia="等线(中文正文)"/>
          <w:b w:val="false"/>
          <w:i w:val="false"/>
          <w:sz w:val="20"/>
        </w:rPr>
        <w:t/>
      </w:r>
    </w:p>
    <w:p>
      <w:pPr>
        <w:pStyle w:val="ab"/>
      </w:pPr>
      <w:r>
        <w:t>中国巨石为何被推荐，其在电子部行业的逻辑是什么？</w:t>
      </w:r>
    </w:p>
    <w:p>
      <w:r>
        <w:rPr>
          <w:rFonts w:ascii="等线(中文正文)" w:hAnsi="等线(中文正文)" w:cs="等线(中文正文)" w:eastAsia="等线(中文正文)"/>
          <w:b w:val="false"/>
          <w:i w:val="false"/>
          <w:sz w:val="20"/>
        </w:rPr>
        <w:t>发言人1：电子部行业目前景气度极高，供不应求态势将持续至明年，下游需求如AI电路等快速放量。中国巨石作为头部电子部厂商，尽管目前估值较低，但受益于下游需求爆发和充足产能准备，在未来可能迎来戴维斯双击行情，因此被列为六月份重点推荐公司之一。</w:t>
      </w:r>
    </w:p>
    <w:p>
      <w:r>
        <w:rPr>
          <w:rFonts w:ascii="等线(中文正文)" w:hAnsi="等线(中文正文)" w:cs="等线(中文正文)" w:eastAsia="等线(中文正文)"/>
          <w:b w:val="false"/>
          <w:i w:val="false"/>
          <w:sz w:val="20"/>
        </w:rPr>
        <w:t/>
      </w:r>
    </w:p>
    <w:p>
      <w:pPr>
        <w:pStyle w:val="ab"/>
      </w:pPr>
      <w:r>
        <w:t>宁德时代在供应链价格管控方面的表现如何？</w:t>
      </w:r>
    </w:p>
    <w:p>
      <w:r>
        <w:rPr>
          <w:rFonts w:ascii="等线(中文正文)" w:hAnsi="等线(中文正文)" w:cs="等线(中文正文)" w:eastAsia="等线(中文正文)"/>
          <w:b w:val="false"/>
          <w:i w:val="false"/>
          <w:sz w:val="20"/>
        </w:rPr>
        <w:t>发言人1：宁德时代对整个供应链的价格管控能力远超同行，通过与内部供应厂商签订合同来保障原材料如六氟不受碳酸锂涨价影响，避免进一步传导至加工费的上涨。</w:t>
      </w:r>
    </w:p>
    <w:p>
      <w:r>
        <w:rPr>
          <w:rFonts w:ascii="等线(中文正文)" w:hAnsi="等线(中文正文)" w:cs="等线(中文正文)" w:eastAsia="等线(中文正文)"/>
          <w:b w:val="false"/>
          <w:i w:val="false"/>
          <w:sz w:val="20"/>
        </w:rPr>
        <w:t/>
      </w:r>
    </w:p>
    <w:p>
      <w:pPr>
        <w:pStyle w:val="ab"/>
      </w:pPr>
      <w:r>
        <w:t>对于下半年的市场需求情况，您持怎样的看法？</w:t>
      </w:r>
    </w:p>
    <w:p>
      <w:r>
        <w:rPr>
          <w:rFonts w:ascii="等线(中文正文)" w:hAnsi="等线(中文正文)" w:cs="等线(中文正文)" w:eastAsia="等线(中文正文)"/>
          <w:b w:val="false"/>
          <w:i w:val="false"/>
          <w:sz w:val="20"/>
        </w:rPr>
        <w:t>发言人1：我们对下半年的市场需求持乐观态度。头部企业5、6月份销量增长约10%，且下半年电子企业会有抢装现象，同时储能端Q3Q4将出现整体旺盛需求状态。二线电池厂二季度储能业务环比增长25%至30%，车端锂电出货量虽未下降，甚至微微上涨，景气度比终端市场更好。</w:t>
      </w:r>
    </w:p>
    <w:p>
      <w:r>
        <w:rPr>
          <w:rFonts w:ascii="等线(中文正文)" w:hAnsi="等线(中文正文)" w:cs="等线(中文正文)" w:eastAsia="等线(中文正文)"/>
          <w:b w:val="false"/>
          <w:i w:val="false"/>
          <w:sz w:val="20"/>
        </w:rPr>
        <w:t/>
      </w:r>
    </w:p>
    <w:p>
      <w:pPr>
        <w:pStyle w:val="ab"/>
      </w:pPr>
      <w:r>
        <w:t>宁德时代的估值情况如何？</w:t>
      </w:r>
    </w:p>
    <w:p>
      <w:r>
        <w:rPr>
          <w:rFonts w:ascii="等线(中文正文)" w:hAnsi="等线(中文正文)" w:cs="等线(中文正文)" w:eastAsia="等线(中文正文)"/>
          <w:b w:val="false"/>
          <w:i w:val="false"/>
          <w:sz w:val="20"/>
        </w:rPr>
        <w:t>发言人1：目前宁德时代A股估值在20倍左右，港股估值更高，考虑到行业调整后的低估值以及龙头企业的强掌控力和下半年景气度持续释放，预计其估值有望进一步上升。</w:t>
      </w:r>
    </w:p>
    <w:p>
      <w:r>
        <w:rPr>
          <w:rFonts w:ascii="等线(中文正文)" w:hAnsi="等线(中文正文)" w:cs="等线(中文正文)" w:eastAsia="等线(中文正文)"/>
          <w:b w:val="false"/>
          <w:i w:val="false"/>
          <w:sz w:val="20"/>
        </w:rPr>
        <w:t/>
      </w:r>
    </w:p>
    <w:p>
      <w:pPr>
        <w:pStyle w:val="ab"/>
      </w:pPr>
      <w:r>
        <w:t>为什么将新科技（生意科技）作为本月金股推荐？</w:t>
      </w:r>
    </w:p>
    <w:p>
      <w:r>
        <w:rPr>
          <w:rFonts w:ascii="等线(中文正文)" w:hAnsi="等线(中文正文)" w:cs="等线(中文正文)" w:eastAsia="等线(中文正文)"/>
          <w:b w:val="false"/>
          <w:i w:val="false"/>
          <w:sz w:val="20"/>
        </w:rPr>
        <w:t>发言人1：新科技是国内高速CCL领域的龙头企业，近期规划了三年高速CPR扩展计划，并在海外北美的大客户中取得积极进展。一季度业绩大超市场预期，且行业处于涨价通胀阶段，公司在国内供应链资源把控和海外算力产品交付能力优秀，有望在高速C市场的市占率快速提升，并在新材料投入和海外客户认可方面取得积极进展。</w:t>
      </w:r>
    </w:p>
    <w:p>
      <w:r>
        <w:rPr>
          <w:rFonts w:ascii="等线(中文正文)" w:hAnsi="等线(中文正文)" w:cs="等线(中文正文)" w:eastAsia="等线(中文正文)"/>
          <w:b w:val="false"/>
          <w:i w:val="false"/>
          <w:sz w:val="20"/>
        </w:rPr>
        <w:t/>
      </w:r>
    </w:p>
    <w:p>
      <w:pPr>
        <w:pStyle w:val="ab"/>
      </w:pPr>
      <w:r>
        <w:t>新科技如何应对当前海外算力需求紧张的情况？</w:t>
      </w:r>
    </w:p>
    <w:p>
      <w:r>
        <w:rPr>
          <w:rFonts w:ascii="等线(中文正文)" w:hAnsi="等线(中文正文)" w:cs="等线(中文正文)" w:eastAsia="等线(中文正文)"/>
          <w:b w:val="false"/>
          <w:i w:val="false"/>
          <w:sz w:val="20"/>
        </w:rPr>
        <w:t>发言人1：在当前海外算力需求紧急的情况下，新科技的高端交付能力将显得尤为宝贵，其份额提升速度将非常快，预计市占率会快速提升，今年和明年业绩爆发力值得期待。</w:t>
      </w:r>
    </w:p>
    <w:p>
      <w:r>
        <w:rPr>
          <w:rFonts w:ascii="等线(中文正文)" w:hAnsi="等线(中文正文)" w:cs="等线(中文正文)" w:eastAsia="等线(中文正文)"/>
          <w:b w:val="false"/>
          <w:i w:val="false"/>
          <w:sz w:val="20"/>
        </w:rPr>
        <w:t/>
      </w:r>
    </w:p>
    <w:p>
      <w:pPr>
        <w:pStyle w:val="ab"/>
      </w:pPr>
      <w:r>
        <w:t>对于中国动力及其下属公司生益电子的业务进展有何更新？</w:t>
      </w:r>
    </w:p>
    <w:p>
      <w:r>
        <w:rPr>
          <w:rFonts w:ascii="等线(中文正文)" w:hAnsi="等线(中文正文)" w:cs="等线(中文正文)" w:eastAsia="等线(中文正文)"/>
          <w:b w:val="false"/>
          <w:i w:val="false"/>
          <w:sz w:val="20"/>
        </w:rPr>
        <w:t>发言人1：中国动力作为船用低速机生产龙头，其订单量和价与全球新船价格同步波动。最近一个月以来，新船价格呈现强劲上涨趋势，且新船订单结构发生变化，高价船型占比提升。同时，生益电子在亚马逊领域取得多项业务进展，有望带动整体业绩保持向上成长趋势。</w:t>
      </w:r>
    </w:p>
    <w:p>
      <w:r>
        <w:rPr>
          <w:rFonts w:ascii="等线(中文正文)" w:hAnsi="等线(中文正文)" w:cs="等线(中文正文)" w:eastAsia="等线(中文正文)"/>
          <w:b w:val="false"/>
          <w:i w:val="false"/>
          <w:sz w:val="20"/>
        </w:rPr>
        <w:t/>
      </w:r>
    </w:p>
    <w:p>
      <w:pPr>
        <w:pStyle w:val="ab"/>
      </w:pPr>
      <w:r>
        <w:t>近期中国船舶集团的表现以及新造船订单的情况如何？</w:t>
      </w:r>
    </w:p>
    <w:p>
      <w:r>
        <w:rPr>
          <w:rFonts w:ascii="等线(中文正文)" w:hAnsi="等线(中文正文)" w:cs="等线(中文正文)" w:eastAsia="等线(中文正文)"/>
          <w:b w:val="false"/>
          <w:i w:val="false"/>
          <w:sz w:val="20"/>
        </w:rPr>
        <w:t>发言人1：中国船舶集团在近期两个月的表现良好，新造船订单量上升，特别是支线性的越野油轮、成品油轮以及载货费用方面，整体处于高位。即使VOCC运费有所回落，其他运费依然保持高位，这预示着后续会有更多新接订单。目前主流船型的创新和更新换代正在进行中，预计今年下半年至明年上半年游船订单将持续增长。同时，靠货船传递的持续积累和过去几年货船订单相对萎靡的情况，也可能带来平台的增长。</w:t>
      </w:r>
    </w:p>
    <w:p>
      <w:r>
        <w:rPr>
          <w:rFonts w:ascii="等线(中文正文)" w:hAnsi="等线(中文正文)" w:cs="等线(中文正文)" w:eastAsia="等线(中文正文)"/>
          <w:b w:val="false"/>
          <w:i w:val="false"/>
          <w:sz w:val="20"/>
        </w:rPr>
        <w:t/>
      </w:r>
    </w:p>
    <w:p>
      <w:pPr>
        <w:pStyle w:val="ab"/>
      </w:pPr>
      <w:r>
        <w:t>中国动力在传递业务上的增长情况及影响因素是什么？</w:t>
      </w:r>
    </w:p>
    <w:p>
      <w:r>
        <w:rPr>
          <w:rFonts w:ascii="等线(中文正文)" w:hAnsi="等线(中文正文)" w:cs="等线(中文正文)" w:eastAsia="等线(中文正文)"/>
          <w:b w:val="false"/>
          <w:i w:val="false"/>
          <w:sz w:val="20"/>
        </w:rPr>
        <w:t>发言人1：中国动力的传递业务增长受到传奇景气度轮动的支撑，不再像2025年那样受到301房和IMOMO MPEMEDC经营框架等影响。目前城市量价激增推动了业务增长。此外，燃气煤气业务进展突出，尤其是国内代表性的中国系，在北美市场突破显著，并且全球产能大量集中在北美，除北美外的其他领域对燃气能机的需求存在供应真空，为国产燃气电公司提供了出口机会。龙江广场、航发、航汽轮等国内公司均有较好的出口机遇，海外订单增长可能源于国内CSP大商在海外数据中心投资以及油价中枢上涨带来的海外油气开发投资加速。</w:t>
      </w:r>
    </w:p>
    <w:p>
      <w:r>
        <w:rPr>
          <w:rFonts w:ascii="等线(中文正文)" w:hAnsi="等线(中文正文)" w:cs="等线(中文正文)" w:eastAsia="等线(中文正文)"/>
          <w:b w:val="false"/>
          <w:i w:val="false"/>
          <w:sz w:val="20"/>
        </w:rPr>
        <w:t/>
      </w:r>
    </w:p>
    <w:p>
      <w:pPr>
        <w:pStyle w:val="ab"/>
      </w:pPr>
      <w:r>
        <w:t>对于中国动力的整体评价和未来发展预期是怎样的？</w:t>
      </w:r>
    </w:p>
    <w:p>
      <w:r>
        <w:rPr>
          <w:rFonts w:ascii="等线(中文正文)" w:hAnsi="等线(中文正文)" w:cs="等线(中文正文)" w:eastAsia="等线(中文正文)"/>
          <w:b w:val="false"/>
          <w:i w:val="false"/>
          <w:sz w:val="20"/>
        </w:rPr>
        <w:t>发言人1：认为中国动力在国产燃气电领域具有较大原型空间和产业结构变化的适应性，是该方向的首选公司。长远来看，中国动力存在并购重组预期，如中船柴油机少数股权整合和VGD吸收瓦性能MRO业务，这些整合预计将提升传递业务的常规效益，并可能推动燃气轮机领域的进一步整合。因此，当前阶段中国动力主业有支撑，燃气轮机有进展，远期存在资产并购预期，仍是一个重点推荐标的。</w:t>
      </w:r>
    </w:p>
    <w:p>
      <w:r>
        <w:rPr>
          <w:rFonts w:ascii="等线(中文正文)" w:hAnsi="等线(中文正文)" w:cs="等线(中文正文)" w:eastAsia="等线(中文正文)"/>
          <w:b w:val="false"/>
          <w:i w:val="false"/>
          <w:sz w:val="20"/>
        </w:rPr>
        <w:t/>
      </w:r>
    </w:p>
    <w:p>
      <w:pPr>
        <w:pStyle w:val="ab"/>
      </w:pPr>
      <w:r>
        <w:t>招商金属团队如何看待当前的黄金和有色板块投资价值？</w:t>
      </w:r>
    </w:p>
    <w:p>
      <w:r>
        <w:rPr>
          <w:rFonts w:ascii="等线(中文正文)" w:hAnsi="等线(中文正文)" w:cs="等线(中文正文)" w:eastAsia="等线(中文正文)"/>
          <w:b w:val="false"/>
          <w:i w:val="false"/>
          <w:sz w:val="20"/>
        </w:rPr>
        <w:t>发言人1：目前金价和铜价下挫，但安全边际较高，市盈率较低，约为9到10倍。尽管宏观压力较大，但TC持续走低，美国可能加关税导致进口铜溢价维持高位，美国之外的铜供应趋向紧张。国内微观数据显示下游逢低补货欲望增强，铜价下跌空间有限，易涨难跌。紫金等公司的市盈率处于历史大底位置，投资机会凸显。此外，有色板块中如CAI应用占比大的品种、小金属板块以及科技核心材料相关板块都值得投资者关注，目前最差时期已过，未来有望反弹。</w:t>
      </w:r>
    </w:p>
    <w:p>
      <w:r>
        <w:rPr>
          <w:rFonts w:ascii="等线(中文正文)" w:hAnsi="等线(中文正文)" w:cs="等线(中文正文)" w:eastAsia="等线(中文正文)"/>
          <w:b w:val="false"/>
          <w:i w:val="false"/>
          <w:sz w:val="20"/>
        </w:rPr>
        <w:t/>
      </w:r>
    </w:p>
    <w:p>
      <w:pPr>
        <w:pStyle w:val="ab"/>
      </w:pPr>
      <w:r>
        <w:t>在新产品方面，有哪些会对相关公司产生积极影响？为什么续创是你们持续推荐的新股？</w:t>
      </w:r>
    </w:p>
    <w:p>
      <w:r>
        <w:rPr>
          <w:rFonts w:ascii="等线(中文正文)" w:hAnsi="等线(中文正文)" w:cs="等线(中文正文)" w:eastAsia="等线(中文正文)"/>
          <w:b w:val="false"/>
          <w:i w:val="false"/>
          <w:sz w:val="20"/>
        </w:rPr>
        <w:t>发言人1：明年NPU和XPU等新产品将为龙头公司及拥有足够竞争优势的公司带来巨大订单优势和竞争能力提升。例如，续创作为光互联领域的龙头，其2.4T清香干锅模块等新产品将在未来几年显著增加利润。续创不仅兑现能力强，而且在手订单充足，物料准备充分，Q2业绩有望表现不错。此外，它还参与更多NPU光引擎交付，受益于英伟达及其他公司在NPU上的需求增长。</w:t>
      </w:r>
    </w:p>
    <w:p>
      <w:r>
        <w:rPr>
          <w:rFonts w:ascii="等线(中文正文)" w:hAnsi="等线(中文正文)" w:cs="等线(中文正文)" w:eastAsia="等线(中文正文)"/>
          <w:b w:val="false"/>
          <w:i w:val="false"/>
          <w:sz w:val="20"/>
        </w:rPr>
        <w:t/>
      </w:r>
    </w:p>
    <w:p>
      <w:pPr>
        <w:pStyle w:val="ab"/>
      </w:pPr>
      <w:r>
        <w:t>对于新光医生的推荐理由是什么？</w:t>
      </w:r>
    </w:p>
    <w:p>
      <w:r>
        <w:rPr>
          <w:rFonts w:ascii="等线(中文正文)" w:hAnsi="等线(中文正文)" w:cs="等线(中文正文)" w:eastAsia="等线(中文正文)"/>
          <w:b w:val="false"/>
          <w:i w:val="false"/>
          <w:sz w:val="20"/>
        </w:rPr>
        <w:t>发言人1：尽管新光医生一季度业绩略低于市场预期，但其对今年及明年物料准备充分，尤其是DSP数量足以满足出货增长需求。新光医生在1.6T硅光领域取得进展，且部分紧缺物料的影响有望降低，随着Q2Q3物料环比改善，其爆发力强，未来业绩增量也会来自NPU等新产品。</w:t>
      </w:r>
    </w:p>
    <w:p>
      <w:r>
        <w:rPr>
          <w:rFonts w:ascii="等线(中文正文)" w:hAnsi="等线(中文正文)" w:cs="等线(中文正文)" w:eastAsia="等线(中文正文)"/>
          <w:b w:val="false"/>
          <w:i w:val="false"/>
          <w:sz w:val="20"/>
        </w:rPr>
        <w:t/>
      </w:r>
    </w:p>
    <w:p>
      <w:pPr>
        <w:pStyle w:val="ab"/>
      </w:pPr>
      <w:r>
        <w:t>恒隆光为何被推荐？</w:t>
      </w:r>
    </w:p>
    <w:p>
      <w:r>
        <w:rPr>
          <w:rFonts w:ascii="等线(中文正文)" w:hAnsi="等线(中文正文)" w:cs="等线(中文正文)" w:eastAsia="等线(中文正文)"/>
          <w:b w:val="false"/>
          <w:i w:val="false"/>
          <w:sz w:val="20"/>
        </w:rPr>
        <w:t>发言人1：恒隆光在CPO业务上具有显著看点，其FAU和MTFA产品已通过下游验证并进入规模量产阶段。此外，公司还有无缘布线MPO产品和光模块MMAU业务，业绩兑现能力强，扩产积极，并且在手订单饱满，尤其是参与DCI业务的布线建设，带来较好的业绩增量。同时，公司产品结构优化，将带来价值量和利润率的双向提升。</w:t>
      </w:r>
    </w:p>
    <w:p>
      <w:r>
        <w:rPr>
          <w:rFonts w:ascii="等线(中文正文)" w:hAnsi="等线(中文正文)" w:cs="等线(中文正文)" w:eastAsia="等线(中文正文)"/>
          <w:b w:val="false"/>
          <w:i w:val="false"/>
          <w:sz w:val="20"/>
        </w:rPr>
        <w:t/>
      </w:r>
    </w:p>
    <w:p>
      <w:pPr>
        <w:pStyle w:val="ab"/>
      </w:pPr>
      <w:r>
        <w:t>对于六月份的核心策略观点和配置建议是什么？</w:t>
      </w:r>
    </w:p>
    <w:p>
      <w:r>
        <w:rPr>
          <w:rFonts w:ascii="等线(中文正文)" w:hAnsi="等线(中文正文)" w:cs="等线(中文正文)" w:eastAsia="等线(中文正文)"/>
          <w:b w:val="false"/>
          <w:i w:val="false"/>
          <w:sz w:val="20"/>
        </w:rPr>
        <w:t>发言人1：预计六月份A股将保持震荡上行态势，指数可能再次创新高，行业结构层面延续几年的趋势，不会出现大的风格切换。当前处于市场的第三个上升阶段，基本面强劲，工业前增速加速上行，牛市特征明显。因此，建议关注具有业绩兑现能力和良好卡位优势的公司，如创新、一盛和恒东光等。</w:t>
      </w:r>
    </w:p>
    <w:p>
      <w:r>
        <w:rPr>
          <w:rFonts w:ascii="等线(中文正文)" w:hAnsi="等线(中文正文)" w:cs="等线(中文正文)" w:eastAsia="等线(中文正文)"/>
          <w:b w:val="false"/>
          <w:i w:val="false"/>
          <w:sz w:val="20"/>
        </w:rPr>
        <w:t/>
      </w:r>
    </w:p>
    <w:p>
      <w:pPr>
        <w:pStyle w:val="ab"/>
      </w:pPr>
      <w:r>
        <w:t>当前驱动盈利增速上行的核心动力是什么？</w:t>
      </w:r>
    </w:p>
    <w:p>
      <w:r>
        <w:rPr>
          <w:rFonts w:ascii="等线(中文正文)" w:hAnsi="等线(中文正文)" w:cs="等线(中文正文)" w:eastAsia="等线(中文正文)"/>
          <w:b w:val="false"/>
          <w:i w:val="false"/>
          <w:sz w:val="20"/>
        </w:rPr>
        <w:t>发言人1：当前驱动盈利增速上行的核心动力主要包括AI产能趋势的环比提速，大商品价格中枢的上移，以及新能源领域如动力电池产量增速的不断提升和出口增速的高增。这些积极因素共同推动了相关领域股票保持高景气状态。</w:t>
      </w:r>
    </w:p>
    <w:p>
      <w:r>
        <w:rPr>
          <w:rFonts w:ascii="等线(中文正文)" w:hAnsi="等线(中文正文)" w:cs="等线(中文正文)" w:eastAsia="等线(中文正文)"/>
          <w:b w:val="false"/>
          <w:i w:val="false"/>
          <w:sz w:val="20"/>
        </w:rPr>
        <w:t/>
      </w:r>
    </w:p>
    <w:p>
      <w:pPr>
        <w:pStyle w:val="ab"/>
      </w:pPr>
      <w:r>
        <w:t>传统周期板块的情况如何？</w:t>
      </w:r>
    </w:p>
    <w:p>
      <w:r>
        <w:rPr>
          <w:rFonts w:ascii="等线(中文正文)" w:hAnsi="等线(中文正文)" w:cs="等线(中文正文)" w:eastAsia="等线(中文正文)"/>
          <w:b w:val="false"/>
          <w:i w:val="false"/>
          <w:sz w:val="20"/>
        </w:rPr>
        <w:t>发言人1：消费、地产业等传统周期板块在三季度之后由于基数效应，负值开始收窄并趋于触底，尽管谨慎度未见显著改善，但整体呈现赋值收敛过程。部分行业加速增长，部分行业负值收窄，整体行业增速处于上行趋势中。</w:t>
      </w:r>
    </w:p>
    <w:p>
      <w:r>
        <w:rPr>
          <w:rFonts w:ascii="等线(中文正文)" w:hAnsi="等线(中文正文)" w:cs="等线(中文正文)" w:eastAsia="等线(中文正文)"/>
          <w:b w:val="false"/>
          <w:i w:val="false"/>
          <w:sz w:val="20"/>
        </w:rPr>
        <w:t/>
      </w:r>
    </w:p>
    <w:p>
      <w:pPr>
        <w:pStyle w:val="ab"/>
      </w:pPr>
      <w:r>
        <w:t>当前经济复苏的结构特征是什么样的？</w:t>
      </w:r>
    </w:p>
    <w:p>
      <w:r>
        <w:rPr>
          <w:rFonts w:ascii="等线(中文正文)" w:hAnsi="等线(中文正文)" w:cs="等线(中文正文)" w:eastAsia="等线(中文正文)"/>
          <w:b w:val="false"/>
          <w:i w:val="false"/>
          <w:sz w:val="20"/>
        </w:rPr>
        <w:t>发言人1：当前经济复苏呈现出明显的结构分化，被定义为“P型复苏”，其中TMT资源和部分中游资本维持高景气，而其他方向则表现平平。当前市场主要由高景气方向结构性上行所驱动。</w:t>
      </w:r>
    </w:p>
    <w:p>
      <w:r>
        <w:rPr>
          <w:rFonts w:ascii="等线(中文正文)" w:hAnsi="等线(中文正文)" w:cs="等线(中文正文)" w:eastAsia="等线(中文正文)"/>
          <w:b w:val="false"/>
          <w:i w:val="false"/>
          <w:sz w:val="20"/>
        </w:rPr>
        <w:t/>
      </w:r>
    </w:p>
    <w:p>
      <w:pPr>
        <w:pStyle w:val="ab"/>
      </w:pPr>
      <w:r>
        <w:t>对于市场担忧的交易过热和估值过高问题，历史数据显示其对板块见顶的影响有多大？</w:t>
      </w:r>
    </w:p>
    <w:p>
      <w:r>
        <w:rPr>
          <w:rFonts w:ascii="等线(中文正文)" w:hAnsi="等线(中文正文)" w:cs="等线(中文正文)" w:eastAsia="等线(中文正文)"/>
          <w:b w:val="false"/>
          <w:i w:val="false"/>
          <w:sz w:val="20"/>
        </w:rPr>
        <w:t>发言人1：历史数据显示，交易过热和估值过高并不是导致板块见顶的主要原因，最终导致板块见顶的关键在于内部紧急增速出现边际拐点。</w:t>
      </w:r>
    </w:p>
    <w:p>
      <w:r>
        <w:rPr>
          <w:rFonts w:ascii="等线(中文正文)" w:hAnsi="等线(中文正文)" w:cs="等线(中文正文)" w:eastAsia="等线(中文正文)"/>
          <w:b w:val="false"/>
          <w:i w:val="false"/>
          <w:sz w:val="20"/>
        </w:rPr>
        <w:t/>
      </w:r>
    </w:p>
    <w:p>
      <w:pPr>
        <w:pStyle w:val="ab"/>
      </w:pPr>
      <w:r>
        <w:t>当前半导体产量增速和信息科技工业企业增速的景气指标表现如何？</w:t>
      </w:r>
    </w:p>
    <w:p>
      <w:r>
        <w:rPr>
          <w:rFonts w:ascii="等线(中文正文)" w:hAnsi="等线(中文正文)" w:cs="等线(中文正文)" w:eastAsia="等线(中文正文)"/>
          <w:b w:val="false"/>
          <w:i w:val="false"/>
          <w:sz w:val="20"/>
        </w:rPr>
        <w:t>发言人1：当前该景气指标增速进一步提升，并且相较于2021年的高景气阶段并未见顶，指数也未明确显示出在加速过程中的见顶迹象，这意味着AI所驱动的产业趋势仍然保持强劲，未来指数可能会继续震荡上行。</w:t>
      </w:r>
    </w:p>
    <w:p>
      <w:r>
        <w:rPr>
          <w:rFonts w:ascii="等线(中文正文)" w:hAnsi="等线(中文正文)" w:cs="等线(中文正文)" w:eastAsia="等线(中文正文)"/>
          <w:b w:val="false"/>
          <w:i w:val="false"/>
          <w:sz w:val="20"/>
        </w:rPr>
        <w:t/>
      </w:r>
    </w:p>
    <w:p>
      <w:pPr>
        <w:pStyle w:val="ab"/>
      </w:pPr>
      <w:r>
        <w:t>在整体市场中，哪些领域是值得关注的投资方向？</w:t>
      </w:r>
    </w:p>
    <w:p>
      <w:r>
        <w:rPr>
          <w:rFonts w:ascii="等线(中文正文)" w:hAnsi="等线(中文正文)" w:cs="等线(中文正文)" w:eastAsia="等线(中文正文)"/>
          <w:b w:val="false"/>
          <w:i w:val="false"/>
          <w:sz w:val="20"/>
        </w:rPr>
        <w:t>发言人1：在整体市场中，TMT和AI仍然是抱团的核心方向，且随着AI产业不断衍生出新的投资机会，如光模块、PCB等环节均有新的布局。此外，围绕AI硬件端和应用端的token经济，尤其是AIPCI手机的落地应用，有望带动相关领域的投资热潮。</w:t>
      </w:r>
    </w:p>
    <w:p>
      <w:r>
        <w:rPr>
          <w:rFonts w:ascii="等线(中文正文)" w:hAnsi="等线(中文正文)" w:cs="等线(中文正文)" w:eastAsia="等线(中文正文)"/>
          <w:b w:val="false"/>
          <w:i w:val="false"/>
          <w:sz w:val="20"/>
        </w:rPr>
        <w:t/>
      </w:r>
    </w:p>
    <w:p>
      <w:pPr>
        <w:pStyle w:val="ab"/>
      </w:pPr>
      <w:r>
        <w:t>A股基本面当前处于什么样的状态？A股从五月中下旬开始调整的原因有哪些流动性扰动因素？</w:t>
      </w:r>
    </w:p>
    <w:p>
      <w:r>
        <w:rPr>
          <w:rFonts w:ascii="等线(中文正文)" w:hAnsi="等线(中文正文)" w:cs="等线(中文正文)" w:eastAsia="等线(中文正文)"/>
          <w:b w:val="false"/>
          <w:i w:val="false"/>
          <w:sz w:val="20"/>
        </w:rPr>
        <w:t>发言人1：A股基本面正处在一个局部景气加速上行的趋势过程中，这是决定当前A股政策的重要变量。第一，重要机构投资者持续减持，尤其是ETF净流出规模较大，对指数形成一定制约作用，但随着半年度结束，下半年指数上涨空间打开，ETF流出压力可能会减轻。第二，美联储加息一次可能导致全球流动性冲击，不过若会议中沃茨不发出过度鹰派表述，市场流动性冲击压力有望降温。第三，大型IPO通常被认为对市场产生负面影响，但实际上大多数时候大型IPO反而是市场行情加速的一个信号。大型IPO真正对市场造成资金冲击是在其上市一年后，VC解禁时形成资金抽水效应。</w:t>
      </w:r>
    </w:p>
    <w:p>
      <w:r>
        <w:rPr>
          <w:rFonts w:ascii="等线(中文正文)" w:hAnsi="等线(中文正文)" w:cs="等线(中文正文)" w:eastAsia="等线(中文正文)"/>
          <w:b w:val="false"/>
          <w:i w:val="false"/>
          <w:sz w:val="20"/>
        </w:rPr>
        <w:t/>
      </w:r>
    </w:p>
    <w:p>
      <w:pPr>
        <w:pStyle w:val="a7"/>
      </w:pPr>
      <w:r>
        <w:t>待办事项</w:t>
      </w:r>
    </w:p>
    <w:p>
      <w:pPr>
        <w:pStyle w:val="aa"/>
        <w:numPr>
          <w:numId w:val="16"/>
        </w:numPr>
      </w:pPr>
      <w:r>
        <w:t>加速布局电缆业务及解决方案，以促进算力液冷业务的更快落地。</w:t>
      </w:r>
    </w:p>
    <w:p>
      <w:pPr>
        <w:pStyle w:val="aa"/>
        <w:numPr>
          <w:numId w:val="17"/>
        </w:numPr>
      </w:pPr>
      <w:r>
        <w:t>关注A客户在26到27年的AI软硬件创新情况，并保持消费电子业务的持续增长。</w:t>
      </w:r>
    </w:p>
    <w:p>
      <w:pPr>
        <w:pStyle w:val="aa"/>
        <w:numPr>
          <w:numId w:val="18"/>
        </w:numPr>
      </w:pPr>
      <w:r>
        <w:t>推进3D打印业务的产业化落地进度，确保与年初相比有更明确的进展。</w:t>
      </w:r>
    </w:p>
    <w:p>
      <w:pPr>
        <w:pStyle w:val="aa"/>
        <w:numPr>
          <w:numId w:val="19"/>
        </w:numPr>
      </w:pPr>
      <w:r>
        <w:t>监控PCB业务中机械钻孔需求和超快设备在1.6T光模块应用的进展情况。</w:t>
      </w:r>
    </w:p>
    <w:p>
      <w:pPr>
        <w:pStyle w:val="aa"/>
        <w:numPr>
          <w:numId w:val="20"/>
        </w:numPr>
      </w:pPr>
      <w:r>
        <w:t>关注光纤业务的专利进展与光纤公司的进一步突破。</w:t>
      </w:r>
    </w:p>
    <w:p>
      <w:pPr>
        <w:pStyle w:val="aa"/>
        <w:numPr>
          <w:numId w:val="21"/>
        </w:numPr>
      </w:pPr>
      <w:r>
        <w:t>探索新材料体系如玻璃基板和陶瓷基板在超快设备上的应用潜力。</w:t>
      </w:r>
    </w:p>
    <w:p>
      <w:pPr>
        <w:pStyle w:val="aa"/>
        <w:numPr>
          <w:numId w:val="22"/>
        </w:numPr>
      </w:pPr>
      <w:r>
        <w:t>持续看好立讯的PCB和3D打印业务的放量，并加强在光纤和玻璃陶瓷领域的前瞻布局。</w:t>
      </w:r>
    </w:p>
    <w:p>
      <w:pPr>
        <w:pStyle w:val="aa"/>
        <w:numPr>
          <w:numId w:val="23"/>
        </w:numPr>
      </w:pPr>
      <w:r>
        <w:t>对金谷重点推荐的中国巨石进行持续关注，特别是对其在电子行业的供需关系和价格趋势的动态。</w:t>
      </w:r>
    </w:p>
    <w:p>
      <w:pPr>
        <w:pStyle w:val="aa"/>
        <w:numPr>
          <w:numId w:val="24"/>
        </w:numPr>
      </w:pPr>
      <w:r>
        <w:t>监测宁德时代在供应链掌控力和市场表现方面的表现，并应对市场需求的持续增长。</w:t>
      </w:r>
    </w:p>
    <w:p>
      <w:pPr>
        <w:pStyle w:val="aa"/>
        <w:numPr>
          <w:numId w:val="25"/>
        </w:numPr>
      </w:pPr>
      <w:r>
        <w:t>密切观察生意科技在高速CCL市场的扩展规划及全球行业地位的提升情况。</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2026-05-31T15:10:13Z</dcterms:created>
  <dc:creator>Apache POI</dc:creator>
</cp:coreProperties>
</file>