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乐信[LX.O]2026年第一季度业绩交流会 260525_导读</w:t>
      </w:r>
    </w:p>
    <w:p>
      <w:pPr>
        <w:pStyle w:val="a0"/>
        <w:jc w:val="center"/>
      </w:pPr>
      <w:r>
        <w:t>2026年05月26日 01:38</w:t>
      </w:r>
    </w:p>
    <w:p>
      <w:pPr>
        <w:pStyle w:val="a7"/>
      </w:pPr>
      <w:r>
        <w:t>关键词</w:t>
      </w:r>
    </w:p>
    <w:p>
      <w:r>
        <w:rPr>
          <w:rFonts w:ascii="等线(中文正文)" w:hAnsi="等线(中文正文)" w:cs="等线(中文正文)" w:eastAsia="等线(中文正文)"/>
          <w:b w:val="false"/>
          <w:i w:val="false"/>
          <w:sz w:val="20"/>
        </w:rPr>
        <w:t xml:space="preserve">多元生态业务 交易额 营收 活跃用户 净利润 风险指标 分期零售 线下普惠 供应链 品牌特卖 普惠金融 资产质量 风险策略 产品矩阵 优质客户 风险识别 黑灰产 风险 大模型 优质客群 </w:t>
      </w:r>
    </w:p>
    <w:p>
      <w:r>
        <w:rPr>
          <w:rFonts w:ascii="等线(中文正文)" w:hAnsi="等线(中文正文)" w:cs="等线(中文正文)" w:eastAsia="等线(中文正文)"/>
          <w:b w:val="false"/>
          <w:i w:val="false"/>
          <w:sz w:val="20"/>
        </w:rPr>
        <w:t/>
      </w:r>
    </w:p>
    <w:p>
      <w:pPr>
        <w:pStyle w:val="a7"/>
      </w:pPr>
      <w:r>
        <w:t>章节速览</w:t>
      </w:r>
    </w:p>
    <w:p>
      <w:pPr>
        <w:pStyle w:val="a7"/>
      </w:pPr>
      <w:r>
        <w:t>发言总结</w:t>
      </w:r>
    </w:p>
    <w:p>
      <w:pPr>
        <w:pStyle w:val="ab"/>
        <w:numPr>
          <w:numId w:val="1"/>
        </w:numPr>
      </w:pPr>
      <w:r>
        <w:t>发言人1</w:t>
      </w:r>
    </w:p>
    <w:p>
      <w:r>
        <w:rPr>
          <w:rFonts w:ascii="等线(中文正文)" w:hAnsi="等线(中文正文)" w:cs="等线(中文正文)" w:eastAsia="等线(中文正文)"/>
          <w:b w:val="false"/>
          <w:i w:val="false"/>
          <w:sz w:val="20"/>
        </w:rPr>
        <w:t>首先对会议进行了介绍，强调了公司财务健康状况，包括208%的覆盖率，以及通过多元化生态系统展现了较强的经营韧性。他提到公司面对消费者金融业务压力时，通过议会推动税收和电子商务领域进展，以及实施保守的预提策略，建立了可持续发展基础。他还讨论了运营成本增加的原因，以及公司现金状况良好。展望未来，他强调公司计划通过深化用户中心策略、优化资产结构和强化风险抵御能力，以及推进多元化生态业务，来应对监管变化和市场压力，确保长期稳定增长。此外，他讨论了公司重视股东回报，计划通过股票回购等措施来实现。他总结了公司在面对挑战时的稳健策略和对未来发展充满信心。</w:t>
      </w:r>
    </w:p>
    <w:p>
      <w:r>
        <w:rPr>
          <w:rFonts w:ascii="等线(中文正文)" w:hAnsi="等线(中文正文)" w:cs="等线(中文正文)" w:eastAsia="等线(中文正文)"/>
          <w:b w:val="false"/>
          <w:i w:val="false"/>
          <w:sz w:val="20"/>
        </w:rPr>
        <w:t/>
      </w:r>
    </w:p>
    <w:p>
      <w:pPr>
        <w:pStyle w:val="a7"/>
      </w:pPr>
      <w:r>
        <w:t>要点回顾</w:t>
      </w:r>
    </w:p>
    <w:p>
      <w:pPr>
        <w:pStyle w:val="ab"/>
      </w:pPr>
      <w:r>
        <w:t>在第一季度，公司各项业务是如何表现的？公司第一季度的核心运营指标有哪些亮点？</w:t>
      </w:r>
    </w:p>
    <w:p>
      <w:r>
        <w:rPr>
          <w:rFonts w:ascii="等线(中文正文)" w:hAnsi="等线(中文正文)" w:cs="等线(中文正文)" w:eastAsia="等线(中文正文)"/>
          <w:b w:val="false"/>
          <w:i w:val="false"/>
          <w:sz w:val="20"/>
        </w:rPr>
        <w:t>发言人1：在2026年第一季度，面对宏观环境和行业挑战，公司的多元生态业务展现了强大的经营韧性。其中，分期零售、线下普惠及to b数字科技等交易量占比接近50%，且生态业务增速高于线上助贷业务，形成新的增长曲线，标志着新旧业务动能转换初步完成，公司正朝着稳健、可持续的方向发展。第一季度内，公司交易额达到了578.98亿元，环比增长15.9%，同比增长12.2%。营收为33.09亿元，活跃用户数为516.7万，环比增长14.1%，同比增长8.6%。新增活跃用户数达到144.4万，环比增长63%，同比增长101.6%。净利润为2.01亿元，各项风险指标保持稳定并持续改善。</w:t>
      </w:r>
    </w:p>
    <w:p>
      <w:r>
        <w:rPr>
          <w:rFonts w:ascii="等线(中文正文)" w:hAnsi="等线(中文正文)" w:cs="等线(中文正文)" w:eastAsia="等线(中文正文)"/>
          <w:b w:val="false"/>
          <w:i w:val="false"/>
          <w:sz w:val="20"/>
        </w:rPr>
        <w:t/>
      </w:r>
    </w:p>
    <w:p>
      <w:pPr>
        <w:pStyle w:val="ab"/>
      </w:pPr>
      <w:r>
        <w:t>多元化生态业务的具体情况如何？分期零售业务的表现有何特点？</w:t>
      </w:r>
    </w:p>
    <w:p>
      <w:r>
        <w:rPr>
          <w:rFonts w:ascii="等线(中文正文)" w:hAnsi="等线(中文正文)" w:cs="等线(中文正文)" w:eastAsia="等线(中文正文)"/>
          <w:b w:val="false"/>
          <w:i w:val="false"/>
          <w:sz w:val="20"/>
        </w:rPr>
        <w:t>发言人1：多元化生态业务中，分期零售、线下普惠和to b数字科技等占比近50%，成为新的增长引擎。尽管受到春节假期影响，但这些业务依然保持稳健增长，交易量大幅提升。尤其是to b数字科技业务开始快速增长，其云栖科技PRO解决方案通过结合技术能力和运营经验，有效对接流量平台与金融机构，助力合作机构实现精准高效的资产分发和稳健盈利。分期零售业务致力于完善供应链体系，全面渗透至刚需消费场景，如吃穿用行游购、鱼宠等多品类商品供应。平台引入知名头部品牌，并推出品牌特卖频道，提升了参与品牌总销量。在元旦、年货节、春节等消费节点，平台推出多场大促活动，同时3C数码领域的贴息免息优惠也促进了用户活跃度的提升。</w:t>
      </w:r>
    </w:p>
    <w:p>
      <w:r>
        <w:rPr>
          <w:rFonts w:ascii="等线(中文正文)" w:hAnsi="等线(中文正文)" w:cs="等线(中文正文)" w:eastAsia="等线(中文正文)"/>
          <w:b w:val="false"/>
          <w:i w:val="false"/>
          <w:sz w:val="20"/>
        </w:rPr>
        <w:t/>
      </w:r>
    </w:p>
    <w:p>
      <w:pPr>
        <w:pStyle w:val="ab"/>
      </w:pPr>
      <w:r>
        <w:t>普惠业务的发展状况如何？</w:t>
      </w:r>
    </w:p>
    <w:p>
      <w:r>
        <w:rPr>
          <w:rFonts w:ascii="等线(中文正文)" w:hAnsi="等线(中文正文)" w:cs="等线(中文正文)" w:eastAsia="等线(中文正文)"/>
          <w:b w:val="false"/>
          <w:i w:val="false"/>
          <w:sz w:val="20"/>
        </w:rPr>
        <w:t>发言人1：普惠业务持续扩大布局，在下沉市场挖掘新的增量。线下普惠业务聚焦本地化经营，满足农林牧渔等特色产业的资金需求，并与地方金融机构精准匹配，推动县域小微和个体工商户的发展。海外业务也保持稳定发展，规模、盈利与资产质量稳步增长。</w:t>
      </w:r>
    </w:p>
    <w:p>
      <w:r>
        <w:rPr>
          <w:rFonts w:ascii="等线(中文正文)" w:hAnsi="等线(中文正文)" w:cs="等线(中文正文)" w:eastAsia="等线(中文正文)"/>
          <w:b w:val="false"/>
          <w:i w:val="false"/>
          <w:sz w:val="20"/>
        </w:rPr>
        <w:t/>
      </w:r>
    </w:p>
    <w:p>
      <w:pPr>
        <w:pStyle w:val="ab"/>
      </w:pPr>
      <w:r>
        <w:t>公司在风险管理及产品矩阵方面有何举措及成效？</w:t>
      </w:r>
    </w:p>
    <w:p>
      <w:r>
        <w:rPr>
          <w:rFonts w:ascii="等线(中文正文)" w:hAnsi="等线(中文正文)" w:cs="等线(中文正文)" w:eastAsia="等线(中文正文)"/>
          <w:b w:val="false"/>
          <w:i w:val="false"/>
          <w:sz w:val="20"/>
        </w:rPr>
        <w:t>发言人1：一季度公司调优风险策略，深度迭代算法和模型，大幅提升渠道对接和目标用户筛选效率。新推出征信报告解读智能体以及交互式功能，实现优质客户的个性化定价与定额。通过灵活化产品功能和场景化经营，优质客群放款规模显著增多，资产质量延续稳定恢复态势，新增资产和存量资产风险同步改善。</w:t>
      </w:r>
    </w:p>
    <w:p>
      <w:r>
        <w:rPr>
          <w:rFonts w:ascii="等线(中文正文)" w:hAnsi="等线(中文正文)" w:cs="等线(中文正文)" w:eastAsia="等线(中文正文)"/>
          <w:b w:val="false"/>
          <w:i w:val="false"/>
          <w:sz w:val="20"/>
        </w:rPr>
        <w:t/>
      </w:r>
    </w:p>
    <w:p>
      <w:pPr>
        <w:pStyle w:val="ab"/>
      </w:pPr>
      <w:r>
        <w:t>在客户服务和体验改善方面有哪些关键行动和成果？</w:t>
      </w:r>
    </w:p>
    <w:p>
      <w:r>
        <w:rPr>
          <w:rFonts w:ascii="等线(中文正文)" w:hAnsi="等线(中文正文)" w:cs="等线(中文正文)" w:eastAsia="等线(中文正文)"/>
          <w:b w:val="false"/>
          <w:i w:val="false"/>
          <w:sz w:val="20"/>
        </w:rPr>
        <w:t>发言人1：公司持续加大资源投入于消保和客户体验改善，强化前台服务并与各业务条线协同联动，提高信息传递效率和问题响应速度，整体处理闭环机制更加高效。在服务体验方面，通过智能化路由分配与排队策略，高峰期预警机制等提升用户服务效率。在用户关怀层面，针对不同群体实施更有针对性的服务关怀举措，整体提升了用户的满意度和体验。</w:t>
      </w:r>
    </w:p>
    <w:p>
      <w:r>
        <w:rPr>
          <w:rFonts w:ascii="等线(中文正文)" w:hAnsi="等线(中文正文)" w:cs="等线(中文正文)" w:eastAsia="等线(中文正文)"/>
          <w:b w:val="false"/>
          <w:i w:val="false"/>
          <w:sz w:val="20"/>
        </w:rPr>
        <w:t/>
      </w:r>
    </w:p>
    <w:p>
      <w:pPr>
        <w:pStyle w:val="ab"/>
      </w:pPr>
      <w:r>
        <w:t>对于未来，公司有何发展规划和信心？</w:t>
      </w:r>
    </w:p>
    <w:p>
      <w:r>
        <w:rPr>
          <w:rFonts w:ascii="等线(中文正文)" w:hAnsi="等线(中文正文)" w:cs="等线(中文正文)" w:eastAsia="等线(中文正文)"/>
          <w:b w:val="false"/>
          <w:i w:val="false"/>
          <w:sz w:val="20"/>
        </w:rPr>
        <w:t>发言人1：展望未来，公司在零售、线下普惠和to b数字科技等业务取得良好增长态势的基础上，将继续深入分析并发力各领域，在多元稳健发展的道路上不断前进。公司相信其独特优势将增强经营韧性，应对未来的不确定性，并为股东创造长期可持续的回报。</w:t>
      </w:r>
    </w:p>
    <w:p>
      <w:r>
        <w:rPr>
          <w:rFonts w:ascii="等线(中文正文)" w:hAnsi="等线(中文正文)" w:cs="等线(中文正文)" w:eastAsia="等线(中文正文)"/>
          <w:b w:val="false"/>
          <w:i w:val="false"/>
          <w:sz w:val="20"/>
        </w:rPr>
        <w:t/>
      </w:r>
    </w:p>
    <w:p>
      <w:pPr>
        <w:pStyle w:val="ab"/>
      </w:pPr>
      <w:r>
        <w:t>你们在电商领域的业务表现如何？</w:t>
      </w:r>
    </w:p>
    <w:p>
      <w:r>
        <w:rPr>
          <w:rFonts w:ascii="等线(中文正文)" w:hAnsi="等线(中文正文)" w:cs="等线(中文正文)" w:eastAsia="等线(中文正文)"/>
          <w:b w:val="false"/>
          <w:i w:val="false"/>
          <w:sz w:val="20"/>
        </w:rPr>
        <w:t>发言人1：我们的全场景电商供应链继续深入各类消费场景，优化供应链系统并丰富了产品种类，如食品、 apparel、交通、旅游、购物、娱乐和宠物等。利用与行业领导者的合作关系，我们新增了近一百五十个知名品牌，并为精选商户推出了专用销售渠道，签约了二十多个国内外时尚和体育品牌。</w:t>
      </w:r>
    </w:p>
    <w:p>
      <w:r>
        <w:rPr>
          <w:rFonts w:ascii="等线(中文正文)" w:hAnsi="等线(中文正文)" w:cs="等线(中文正文)" w:eastAsia="等线(中文正文)"/>
          <w:b w:val="false"/>
          <w:i w:val="false"/>
          <w:sz w:val="20"/>
        </w:rPr>
        <w:t/>
      </w:r>
    </w:p>
    <w:p>
      <w:pPr>
        <w:pStyle w:val="ab"/>
      </w:pPr>
      <w:r>
        <w:t>在总交易量方面，你们取得了什么成绩？</w:t>
      </w:r>
    </w:p>
    <w:p>
      <w:r>
        <w:rPr>
          <w:rFonts w:ascii="等线(中文正文)" w:hAnsi="等线(中文正文)" w:cs="等线(中文正文)" w:eastAsia="等线(中文正文)"/>
          <w:b w:val="false"/>
          <w:i w:val="false"/>
          <w:sz w:val="20"/>
        </w:rPr>
        <w:t>发言人1：总交易量在参与的B2B和B2C业务中增长了43%，充分满足了用户对品质消费的需求，特别是在日常必需品、节日礼品以及新年的多项大型促销活动期间，持续推动了3C数码产品的消费增长。</w:t>
      </w:r>
    </w:p>
    <w:p>
      <w:r>
        <w:rPr>
          <w:rFonts w:ascii="等线(中文正文)" w:hAnsi="等线(中文正文)" w:cs="等线(中文正文)" w:eastAsia="等线(中文正文)"/>
          <w:b w:val="false"/>
          <w:i w:val="false"/>
          <w:sz w:val="20"/>
        </w:rPr>
        <w:t/>
      </w:r>
    </w:p>
    <w:p>
      <w:pPr>
        <w:pStyle w:val="ab"/>
      </w:pPr>
      <w:r>
        <w:t>在第一季度，你们通过什么方式实现了B2B业务的增长？普惠金融业务方面，你们有哪些亮点？</w:t>
      </w:r>
    </w:p>
    <w:p>
      <w:r>
        <w:rPr>
          <w:rFonts w:ascii="等线(中文正文)" w:hAnsi="等线(中文正文)" w:cs="等线(中文正文)" w:eastAsia="等线(中文正文)"/>
          <w:b w:val="false"/>
          <w:i w:val="false"/>
          <w:sz w:val="20"/>
        </w:rPr>
        <w:t>发言人1：我们通过有效连接互联网流量平台和金融结构，建立起与互联网交通平台及各类金融机构之间的资源合作桥梁。利用自身技术和运营经验，帮助平台精确分配流量并赋能合作的金融机构获取具有稳定盈利性的资产，从而实现三赢局面。我们持续关注县域市场的深入发展，全面实施本地化运营策略。针对县域客户特征，我们开发了县域小微风控模型，优化准入、授信和定价策略，以适应线下批零、农资、养殖等类别小微客户的风控需求和信贷需求。目前，业务已覆盖近百个县域，服务小微客户超过400万家，且整体风险表现稳定，业务规模持续提升。</w:t>
      </w:r>
    </w:p>
    <w:p>
      <w:r>
        <w:rPr>
          <w:rFonts w:ascii="等线(中文正文)" w:hAnsi="等线(中文正文)" w:cs="等线(中文正文)" w:eastAsia="等线(中文正文)"/>
          <w:b w:val="false"/>
          <w:i w:val="false"/>
          <w:sz w:val="20"/>
        </w:rPr>
        <w:t/>
      </w:r>
    </w:p>
    <w:p>
      <w:pPr>
        <w:pStyle w:val="ab"/>
      </w:pPr>
      <w:r>
        <w:t>你们如何防范和打击黑灰产活动？</w:t>
      </w:r>
    </w:p>
    <w:p>
      <w:r>
        <w:rPr>
          <w:rFonts w:ascii="等线(中文正文)" w:hAnsi="等线(中文正文)" w:cs="等线(中文正文)" w:eastAsia="等线(中文正文)"/>
          <w:b w:val="false"/>
          <w:i w:val="false"/>
          <w:sz w:val="20"/>
        </w:rPr>
        <w:t>发言人1：在第一季度，我们加强了对黑灰产的识别和打击力度，建立了事前预警、事中拦截、事后打击及生态协同的全链路防控体系。成功构建了针对代理诉讼等黑灰产行为的防控机制，并向公安机关移送有效线索，协助打击了山东某黑灰产团伙，抓获犯罪嫌疑人40余名。</w:t>
      </w:r>
    </w:p>
    <w:p>
      <w:r>
        <w:rPr>
          <w:rFonts w:ascii="等线(中文正文)" w:hAnsi="等线(中文正文)" w:cs="等线(中文正文)" w:eastAsia="等线(中文正文)"/>
          <w:b w:val="false"/>
          <w:i w:val="false"/>
          <w:sz w:val="20"/>
        </w:rPr>
        <w:t/>
      </w:r>
    </w:p>
    <w:p>
      <w:pPr>
        <w:pStyle w:val="ab"/>
      </w:pPr>
      <w:r>
        <w:t>What is the effect of the new regulations on the risk reduction trend?</w:t>
      </w:r>
    </w:p>
    <w:p>
      <w:r>
        <w:rPr>
          <w:rFonts w:ascii="等线(中文正文)" w:hAnsi="等线(中文正文)" w:cs="等线(中文正文)" w:eastAsia="等线(中文正文)"/>
          <w:b w:val="false"/>
          <w:i w:val="false"/>
          <w:sz w:val="20"/>
        </w:rPr>
        <w:t>发言人1：The impact of the new regulations on the industry gradually subsided, allowing the risk to begin to decline and maintaining the steady risk reduction trend seen in the previous year.</w:t>
      </w:r>
    </w:p>
    <w:p>
      <w:r>
        <w:rPr>
          <w:rFonts w:ascii="等线(中文正文)" w:hAnsi="等线(中文正文)" w:cs="等线(中文正文)" w:eastAsia="等线(中文正文)"/>
          <w:b w:val="false"/>
          <w:i w:val="false"/>
          <w:sz w:val="20"/>
        </w:rPr>
        <w:t/>
      </w:r>
    </w:p>
    <w:p>
      <w:pPr>
        <w:pStyle w:val="ab"/>
      </w:pPr>
      <w:r>
        <w:t>How did the thirty-day collection rates perform?What specific risk initiatives were implemented during the quarter?</w:t>
      </w:r>
    </w:p>
    <w:p>
      <w:r>
        <w:rPr>
          <w:rFonts w:ascii="等线(中文正文)" w:hAnsi="等线(中文正文)" w:cs="等线(中文正文)" w:eastAsia="等线(中文正文)"/>
          <w:b w:val="false"/>
          <w:i w:val="false"/>
          <w:sz w:val="20"/>
        </w:rPr>
        <w:t>发言人1：The thirty-day collection rates continued to recover, improving month over months.During the quarter, large models were scaled up in risk management scenarios to improve efficiency and effectiveness, with applications including optimizing asset management and enhancing risk identification capabilities. Real-time interactive credit line increases were also enabled for prime asset growth and personalization of credit offers for customers.</w:t>
      </w:r>
    </w:p>
    <w:p>
      <w:r>
        <w:rPr>
          <w:rFonts w:ascii="等线(中文正文)" w:hAnsi="等线(中文正文)" w:cs="等线(中文正文)" w:eastAsia="等线(中文正文)"/>
          <w:b w:val="false"/>
          <w:i w:val="false"/>
          <w:sz w:val="20"/>
        </w:rPr>
        <w:t/>
      </w:r>
    </w:p>
    <w:p>
      <w:pPr>
        <w:pStyle w:val="ab"/>
      </w:pPr>
      <w:r>
        <w:t>How was the prime asset base affected by the new strategies?</w:t>
      </w:r>
    </w:p>
    <w:p>
      <w:r>
        <w:rPr>
          <w:rFonts w:ascii="等线(中文正文)" w:hAnsi="等线(中文正文)" w:cs="等线(中文正文)" w:eastAsia="等线(中文正文)"/>
          <w:b w:val="false"/>
          <w:i w:val="false"/>
          <w:sz w:val="20"/>
        </w:rPr>
        <w:t>发言人1：The prime asset base grew with an increase in credit line creation and management services, resulting in a substantial rise in the volume of prime White-collar customers (56% increase) and prime small and microbus owners (30% increase) compared to the fourth quarter of 2025.</w:t>
      </w:r>
    </w:p>
    <w:p>
      <w:r>
        <w:rPr>
          <w:rFonts w:ascii="等线(中文正文)" w:hAnsi="等线(中文正文)" w:cs="等线(中文正文)" w:eastAsia="等线(中文正文)"/>
          <w:b w:val="false"/>
          <w:i w:val="false"/>
          <w:sz w:val="20"/>
        </w:rPr>
        <w:t/>
      </w:r>
    </w:p>
    <w:p>
      <w:pPr>
        <w:pStyle w:val="ab"/>
      </w:pPr>
      <w:r>
        <w:t>What is the focus of the inclusive finance business?</w:t>
      </w:r>
    </w:p>
    <w:p>
      <w:r>
        <w:rPr>
          <w:rFonts w:ascii="等线(中文正文)" w:hAnsi="等线(中文正文)" w:cs="等线(中文正文)" w:eastAsia="等线(中文正文)"/>
          <w:b w:val="false"/>
          <w:i w:val="false"/>
          <w:sz w:val="20"/>
        </w:rPr>
        <w:t>发言人1：The inclusive finance business focuses on cultivating operations at the country level, implementing a localized operation strategy, and optimizing risk models to match the risk profile and credit needs of small and micro customers in offline retail and agricultural supply and farming segments.</w:t>
      </w:r>
    </w:p>
    <w:p>
      <w:r>
        <w:rPr>
          <w:rFonts w:ascii="等线(中文正文)" w:hAnsi="等线(中文正文)" w:cs="等线(中文正文)" w:eastAsia="等线(中文正文)"/>
          <w:b w:val="false"/>
          <w:i w:val="false"/>
          <w:sz w:val="20"/>
        </w:rPr>
        <w:t/>
      </w:r>
    </w:p>
    <w:p>
      <w:pPr>
        <w:pStyle w:val="ab"/>
      </w:pPr>
      <w:r>
        <w:t>What actions were taken to combat illicit activities?</w:t>
      </w:r>
    </w:p>
    <w:p>
      <w:r>
        <w:rPr>
          <w:rFonts w:ascii="等线(中文正文)" w:hAnsi="等线(中文正文)" w:cs="等线(中文正文)" w:eastAsia="等线(中文正文)"/>
          <w:b w:val="false"/>
          <w:i w:val="false"/>
          <w:sz w:val="20"/>
        </w:rPr>
        <w:t>发言人1：An enterprising and prevention and control system was established, encompassing early warning, process interception, post-event enforcement, and ecosystem coordination to combat illicit activities such as agenda cities complaint. This system provided actionable intelligence to public security authorities, assisting in the successful disruption of syndicates and arrests of suspects.</w:t>
      </w:r>
    </w:p>
    <w:p>
      <w:r>
        <w:rPr>
          <w:rFonts w:ascii="等线(中文正文)" w:hAnsi="等线(中文正文)" w:cs="等线(中文正文)" w:eastAsia="等线(中文正文)"/>
          <w:b w:val="false"/>
          <w:i w:val="false"/>
          <w:sz w:val="20"/>
        </w:rPr>
        <w:t/>
      </w:r>
    </w:p>
    <w:p>
      <w:pPr>
        <w:pStyle w:val="ab"/>
      </w:pPr>
      <w:r>
        <w:t>What are the expectations for the second quarter?</w:t>
      </w:r>
    </w:p>
    <w:p>
      <w:r>
        <w:rPr>
          <w:rFonts w:ascii="等线(中文正文)" w:hAnsi="等线(中文正文)" w:cs="等线(中文正文)" w:eastAsia="等线(中文正文)"/>
          <w:b w:val="false"/>
          <w:i w:val="false"/>
          <w:sz w:val="20"/>
        </w:rPr>
        <w:t>发言人1：The company expects to optimize asset quality and strengthen management over new loans in the second quarter. It also aims to further serve customers, enhance their experience, and drive growth in high-quality assets while maintaining stable and controllable risk levels.</w:t>
      </w:r>
    </w:p>
    <w:p>
      <w:r>
        <w:rPr>
          <w:rFonts w:ascii="等线(中文正文)" w:hAnsi="等线(中文正文)" w:cs="等线(中文正文)" w:eastAsia="等线(中文正文)"/>
          <w:b w:val="false"/>
          <w:i w:val="false"/>
          <w:sz w:val="20"/>
        </w:rPr>
        <w:t/>
      </w:r>
    </w:p>
    <w:p>
      <w:pPr>
        <w:pStyle w:val="ab"/>
      </w:pPr>
      <w:r>
        <w:t>What is the impact of the first quarter financial results on the company's performance?</w:t>
      </w:r>
    </w:p>
    <w:p>
      <w:r>
        <w:rPr>
          <w:rFonts w:ascii="等线(中文正文)" w:hAnsi="等线(中文正文)" w:cs="等线(中文正文)" w:eastAsia="等线(中文正文)"/>
          <w:b w:val="false"/>
          <w:i w:val="false"/>
          <w:sz w:val="20"/>
        </w:rPr>
        <w:t>发言人1：The first quarter net revenue increased by 9.1% to $1.7 billion, driven by strong tech empowerment service income growth. Expenses grew by 13.8% to $1.5 billion, with a decrease in tax and other expenses contributing to a net income of $210 million, a 5.9% decline from the previous quarter. The revenue growth was attributed to the reduction of provisions due to improved credit quality and the online consumer finance business despite facing macro uncertainties.</w:t>
      </w:r>
    </w:p>
    <w:p>
      <w:r>
        <w:rPr>
          <w:rFonts w:ascii="等线(中文正文)" w:hAnsi="等线(中文正文)" w:cs="等线(中文正文)" w:eastAsia="等线(中文正文)"/>
          <w:b w:val="false"/>
          <w:i w:val="false"/>
          <w:sz w:val="20"/>
        </w:rPr>
        <w:t/>
      </w:r>
    </w:p>
    <w:p>
      <w:pPr>
        <w:pStyle w:val="ab"/>
      </w:pPr>
      <w:r>
        <w:t>What are the recent developments in the company's revenue streams and how are they anticipating market cycles?</w:t>
      </w:r>
    </w:p>
    <w:p>
      <w:r>
        <w:rPr>
          <w:rFonts w:ascii="等线(中文正文)" w:hAnsi="等线(中文正文)" w:cs="等线(中文正文)" w:eastAsia="等线(中文正文)"/>
          <w:b w:val="false"/>
          <w:i w:val="false"/>
          <w:sz w:val="20"/>
        </w:rPr>
        <w:t>发言人1：The company's revenue streams are bolstered by the robust growth of their suker model, which is creating a steady and profitable revenue pipeline across market cycles. They have maintained positive momentum with stable transaction volumes and improving gross margins.</w:t>
      </w:r>
    </w:p>
    <w:p>
      <w:r>
        <w:rPr>
          <w:rFonts w:ascii="等线(中文正文)" w:hAnsi="等线(中文正文)" w:cs="等线(中文正文)" w:eastAsia="等线(中文正文)"/>
          <w:b w:val="false"/>
          <w:i w:val="false"/>
          <w:sz w:val="20"/>
        </w:rPr>
        <w:t/>
      </w:r>
    </w:p>
    <w:p>
      <w:pPr>
        <w:pStyle w:val="ab"/>
      </w:pPr>
      <w:r>
        <w:t>How is the company diversifying its portfolio and what role does the e-commerce segment play?</w:t>
      </w:r>
    </w:p>
    <w:p>
      <w:r>
        <w:rPr>
          <w:rFonts w:ascii="等线(中文正文)" w:hAnsi="等线(中文正文)" w:cs="等线(中文正文)" w:eastAsia="等线(中文正文)"/>
          <w:b w:val="false"/>
          <w:i w:val="false"/>
          <w:sz w:val="20"/>
        </w:rPr>
        <w:t>发言人1：The company is diversifying its portfolio by expanding into inclusive finance, serving students, and events as additional civilizers. The e-commerce segment is deeply integrated into the ecosystem, providing a range of convenient consumption scenarios and acting as a competitive advantage, contributing to revenue growth.</w:t>
      </w:r>
    </w:p>
    <w:p>
      <w:r>
        <w:rPr>
          <w:rFonts w:ascii="等线(中文正文)" w:hAnsi="等线(中文正文)" w:cs="等线(中文正文)" w:eastAsia="等线(中文正文)"/>
          <w:b w:val="false"/>
          <w:i w:val="false"/>
          <w:sz w:val="20"/>
        </w:rPr>
        <w:t/>
      </w:r>
    </w:p>
    <w:p>
      <w:pPr>
        <w:pStyle w:val="ab"/>
      </w:pPr>
      <w:r>
        <w:t>What is the current state of the e-commerce segment's growth and profitability?</w:t>
      </w:r>
    </w:p>
    <w:p>
      <w:r>
        <w:rPr>
          <w:rFonts w:ascii="等线(中文正文)" w:hAnsi="等线(中文正文)" w:cs="等线(中文正文)" w:eastAsia="等线(中文正文)"/>
          <w:b w:val="false"/>
          <w:i w:val="false"/>
          <w:sz w:val="20"/>
        </w:rPr>
        <w:t>发言人1：The e-commerce segment's MV has remained steady at 2.2 billion, with a growth profit reaching 208 million, representing a 14% increase, and a growth margin extended to 924%. The solid performance is mainly attributed to the continued growth of e-commerce operations.</w:t>
      </w:r>
    </w:p>
    <w:p>
      <w:r>
        <w:rPr>
          <w:rFonts w:ascii="等线(中文正文)" w:hAnsi="等线(中文正文)" w:cs="等线(中文正文)" w:eastAsia="等线(中文正文)"/>
          <w:b w:val="false"/>
          <w:i w:val="false"/>
          <w:sz w:val="20"/>
        </w:rPr>
        <w:t/>
      </w:r>
    </w:p>
    <w:p>
      <w:pPr>
        <w:pStyle w:val="ab"/>
      </w:pPr>
      <w:r>
        <w:t>How are asset quality and risk management strategies evolving within the company?What are the latest trends in the company's risk indicators and provision coverage?</w:t>
      </w:r>
    </w:p>
    <w:p>
      <w:r>
        <w:rPr>
          <w:rFonts w:ascii="等线(中文正文)" w:hAnsi="等线(中文正文)" w:cs="等线(中文正文)" w:eastAsia="等线(中文正文)"/>
          <w:b w:val="false"/>
          <w:i w:val="false"/>
          <w:sz w:val="20"/>
        </w:rPr>
        <w:t>发言人1：Asset quality remains strong, with rapid growth moderated to contain credit risk within the company's risk appetite. The stage age element of the assessment contributes reliably to gross profit and helps capture diverse user consumption needs, further diversifying revenue streams and reinforcing operational resilience.The company's risk indicators are stabilizing, with risks for both existing and new loans trending downward from January to March. Provisions are volume-driven, aligning with new home origination growth, resulting in a coverage ratio of 208% in the first quarter.</w:t>
      </w:r>
    </w:p>
    <w:p>
      <w:r>
        <w:rPr>
          <w:rFonts w:ascii="等线(中文正文)" w:hAnsi="等线(中文正文)" w:cs="等线(中文正文)" w:eastAsia="等线(中文正文)"/>
          <w:b w:val="false"/>
          <w:i w:val="false"/>
          <w:sz w:val="20"/>
        </w:rPr>
        <w:t/>
      </w:r>
    </w:p>
    <w:p>
      <w:pPr>
        <w:pStyle w:val="ab"/>
      </w:pPr>
      <w:r>
        <w:t>How is the company managing operating expenses and what are the expectations for the second quarter?</w:t>
      </w:r>
    </w:p>
    <w:p>
      <w:r>
        <w:rPr>
          <w:rFonts w:ascii="等线(中文正文)" w:hAnsi="等线(中文正文)" w:cs="等线(中文正文)" w:eastAsia="等线(中文正文)"/>
          <w:b w:val="false"/>
          <w:i w:val="false"/>
          <w:sz w:val="20"/>
        </w:rPr>
        <w:t>发言人1：Operating expenses have increased by 18% to 1.4 billion due to increased market instances. This investment is aimed at enhancing user engagement and service infrastructure to improve consumer protection and experience. The company expects a gradual recovery trend seen in the first quarter to continue into the second quarter.</w:t>
      </w:r>
    </w:p>
    <w:p>
      <w:r>
        <w:rPr>
          <w:rFonts w:ascii="等线(中文正文)" w:hAnsi="等线(中文正文)" w:cs="等线(中文正文)" w:eastAsia="等线(中文正文)"/>
          <w:b w:val="false"/>
          <w:i w:val="false"/>
          <w:sz w:val="20"/>
        </w:rPr>
        <w:t/>
      </w:r>
    </w:p>
    <w:p>
      <w:pPr>
        <w:pStyle w:val="ab"/>
      </w:pPr>
      <w:r>
        <w:t>Can the company provide insights into future regulatory changes and their impact, as well as the latest on loan asset quality and risk展望？</w:t>
      </w:r>
    </w:p>
    <w:p>
      <w:r>
        <w:rPr>
          <w:rFonts w:ascii="等线(中文正文)" w:hAnsi="等线(中文正文)" w:cs="等线(中文正文)" w:eastAsia="等线(中文正文)"/>
          <w:b w:val="false"/>
          <w:i w:val="false"/>
          <w:sz w:val="20"/>
        </w:rPr>
        <w:t>发言人1：The company is facing a transition with the rollout of various new regulations, viewing the industry as more mature and规范. It anticipates a focus on compliance and enhancing user experience. In terms of loan asset quality, the latest risk表现 are positive, but specific future risk expectations for the coming quarters were not detailed in the provided text. The company is expected to continue its conservative provisioning strategy to navigate current and potential market conditions while maintaining steady operations across all cycles.</w:t>
      </w:r>
    </w:p>
    <w:p>
      <w:r>
        <w:rPr>
          <w:rFonts w:ascii="等线(中文正文)" w:hAnsi="等线(中文正文)" w:cs="等线(中文正文)" w:eastAsia="等线(中文正文)"/>
          <w:b w:val="false"/>
          <w:i w:val="false"/>
          <w:sz w:val="20"/>
        </w:rPr>
        <w:t/>
      </w:r>
    </w:p>
    <w:p>
      <w:pPr>
        <w:pStyle w:val="ab"/>
      </w:pPr>
      <w:r>
        <w:t>What is the trend in loan risk表现？What actions are being taken to maintain the risk reduction trend？</w:t>
      </w:r>
    </w:p>
    <w:p>
      <w:r>
        <w:rPr>
          <w:rFonts w:ascii="等线(中文正文)" w:hAnsi="等线(中文正文)" w:cs="等线(中文正文)" w:eastAsia="等线(中文正文)"/>
          <w:b w:val="false"/>
          <w:i w:val="false"/>
          <w:sz w:val="20"/>
        </w:rPr>
        <w:t>发言人1：The trend in loan risk表现 is one of continuous improvement, with a decrease in the all-in asset delinquency rate and new放款的FPD30 rate. Specifically, the入催率环比下降了7%，30天出催率逐月回升，FPD30下降了15%左右。To maintain the risk reduction trend, the company plans to continue to strengthen risk identification and处置, improve new loan review standards, and further control the risk level within the preferred range. Specifically, they aim to keep the rate of delinquency in the second quarter below 1%.</w:t>
      </w:r>
    </w:p>
    <w:p>
      <w:r>
        <w:rPr>
          <w:rFonts w:ascii="等线(中文正文)" w:hAnsi="等线(中文正文)" w:cs="等线(中文正文)" w:eastAsia="等线(中文正文)"/>
          <w:b w:val="false"/>
          <w:i w:val="false"/>
          <w:sz w:val="20"/>
        </w:rPr>
        <w:t/>
      </w:r>
    </w:p>
    <w:p>
      <w:pPr>
        <w:pStyle w:val="ab"/>
      </w:pPr>
      <w:r>
        <w:t>What is the projected trend for asset quality and revenue？</w:t>
      </w:r>
    </w:p>
    <w:p>
      <w:r>
        <w:rPr>
          <w:rFonts w:ascii="等线(中文正文)" w:hAnsi="等线(中文正文)" w:cs="等线(中文正文)" w:eastAsia="等线(中文正文)"/>
          <w:b w:val="false"/>
          <w:i w:val="false"/>
          <w:sz w:val="20"/>
        </w:rPr>
        <w:t>发言人1：The projected trend for asset quality is positive, with a stable or slightly increasing total loan volume thanks to the growth of the ecosystem business. On the revenue side, while there's a more gradual recognition of revenue from the accounting policy, this is expected to fully offset the short-term impact from the contraction of the online consumer finance business. In the long run, the revenue base is anticipated to be more stable with a significant contribution from service income.</w:t>
      </w:r>
    </w:p>
    <w:p>
      <w:r>
        <w:rPr>
          <w:rFonts w:ascii="等线(中文正文)" w:hAnsi="等线(中文正文)" w:cs="等线(中文正文)" w:eastAsia="等线(中文正文)"/>
          <w:b w:val="false"/>
          <w:i w:val="false"/>
          <w:sz w:val="20"/>
        </w:rPr>
        <w:t/>
      </w:r>
    </w:p>
    <w:p>
      <w:pPr>
        <w:pStyle w:val="ab"/>
      </w:pPr>
      <w:r>
        <w:t>How is the credit cost expected to change？</w:t>
      </w:r>
    </w:p>
    <w:p>
      <w:r>
        <w:rPr>
          <w:rFonts w:ascii="等线(中文正文)" w:hAnsi="等线(中文正文)" w:cs="等线(中文正文)" w:eastAsia="等线(中文正文)"/>
          <w:b w:val="false"/>
          <w:i w:val="false"/>
          <w:sz w:val="20"/>
        </w:rPr>
        <w:t>发言人1：The credit cost is expected to decrease as risk continues to decline, assuming there are no significant micro or regulatory changes. Provisions will remain important, but their reliance is expected to decrease.</w:t>
      </w:r>
    </w:p>
    <w:p>
      <w:r>
        <w:rPr>
          <w:rFonts w:ascii="等线(中文正文)" w:hAnsi="等线(中文正文)" w:cs="等线(中文正文)" w:eastAsia="等线(中文正文)"/>
          <w:b w:val="false"/>
          <w:i w:val="false"/>
          <w:sz w:val="20"/>
        </w:rPr>
        <w:t/>
      </w:r>
    </w:p>
    <w:p>
      <w:pPr>
        <w:pStyle w:val="ab"/>
      </w:pPr>
      <w:r>
        <w:t>What is the planned investment strategy in customer experience？</w:t>
      </w:r>
    </w:p>
    <w:p>
      <w:r>
        <w:rPr>
          <w:rFonts w:ascii="等线(中文正文)" w:hAnsi="等线(中文正文)" w:cs="等线(中文正文)" w:eastAsia="等线(中文正文)"/>
          <w:b w:val="false"/>
          <w:i w:val="false"/>
          <w:sz w:val="20"/>
        </w:rPr>
        <w:t>发言人1：The investment strategy in customer experience will lead to slightly increased expenses in the short term due to the expansion of the ecosystem business. Going forward, the company aims to maintain operational efficiency, reduce costs where possible, and optimize the expense ratio.</w:t>
      </w:r>
    </w:p>
    <w:p>
      <w:r>
        <w:rPr>
          <w:rFonts w:ascii="等线(中文正文)" w:hAnsi="等线(中文正文)" w:cs="等线(中文正文)" w:eastAsia="等线(中文正文)"/>
          <w:b w:val="false"/>
          <w:i w:val="false"/>
          <w:sz w:val="20"/>
        </w:rPr>
        <w:t/>
      </w:r>
    </w:p>
    <w:p>
      <w:pPr>
        <w:pStyle w:val="ab"/>
      </w:pPr>
      <w:r>
        <w:t>What are the plans for stock repurchases and shareholder returns？</w:t>
      </w:r>
    </w:p>
    <w:p>
      <w:r>
        <w:rPr>
          <w:rFonts w:ascii="等线(中文正文)" w:hAnsi="等线(中文正文)" w:cs="等线(中文正文)" w:eastAsia="等线(中文正文)"/>
          <w:b w:val="false"/>
          <w:i w:val="false"/>
          <w:sz w:val="20"/>
        </w:rPr>
        <w:t>发言人1：The company plans to focus on making steady progress and building a strong foundation for long-term high-quality growth. In terms of shareholder returns, after cancelling 2000万ADS, representing 12% of the total issued and流通股本, the company is considering重启股票回购计划，并在合适时机最大化释放回购资金对公司价值的催化作用。同时，结合经营发展和资本市场情况，公司会积极考虑推出新的股票回购方案，稳步提升股东的长期回报。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num w:numId="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2026-05-25T17:40:13Z</dcterms:created>
  <dc:creator>Apache POI</dc:creator>
</cp:coreProperties>
</file>