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银河总量之声 - 波动中寻找确定性 260525_导读</w:t>
      </w:r>
    </w:p>
    <w:p>
      <w:pPr>
        <w:pStyle w:val="a0"/>
        <w:jc w:val="center"/>
      </w:pPr>
      <w:r>
        <w:t>2026年05月26日 01:38</w:t>
      </w:r>
    </w:p>
    <w:p>
      <w:pPr>
        <w:pStyle w:val="a7"/>
      </w:pPr>
      <w:r>
        <w:t>关键词</w:t>
      </w:r>
    </w:p>
    <w:p>
      <w:r>
        <w:rPr>
          <w:rFonts w:ascii="等线(中文正文)" w:hAnsi="等线(中文正文)" w:cs="等线(中文正文)" w:eastAsia="等线(中文正文)"/>
          <w:b w:val="false"/>
          <w:i w:val="false"/>
          <w:sz w:val="20"/>
        </w:rPr>
        <w:t xml:space="preserve">财政收支 经济基本面 收入增速 支出增速 专项债 通胀 科技主线 避险情绪 美联储 降息预期 加息预期 大类资产配置 美伊冲突 原油价格 投资机会 油价 安全 A股市场 海外流动性 市场情绪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会议由宏观分析师主持，探讨了全球经济波动中中国的投资机会及财政政策动态。财政数据显示，收入虽有修复，支出节奏放缓，呈现结构性特征，尤其在基建投资方面因专项债发行减速而增速下降。策略分析师强调，尽管市场面临不确定性，科技板块和受益于价格上涨的行业有望持续强势，同时指出防御性板块作为底仓配置的重要性，以应对外部如美伊冲突和美联储政策转向带来的潜在影响。</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财政收支数据解读与投资机会探讨</w:t>
      </w:r>
    </w:p>
    <w:p>
      <w:r>
        <w:rPr>
          <w:rFonts w:ascii="等线(中文正文)" w:hAnsi="等线(中文正文)" w:cs="等线(中文正文)" w:eastAsia="等线(中文正文)"/>
          <w:b w:val="false"/>
          <w:i w:val="false"/>
          <w:sz w:val="20"/>
        </w:rPr>
        <w:t>会议围绕1至4月财政收支数据展开，分析显示收入端韧性较强，但支出节奏二季度显著转换，映射经济基本面回落与K型分化特征。在地缘冲突与资本市场波动背景下，讨论聚焦于寻找中国投资确定性机会，强调财政政策发力方向及经济结构变化。</w:t>
      </w:r>
    </w:p>
    <w:p>
      <w:r>
        <w:rPr>
          <w:rFonts w:ascii="等线(中文正文)" w:hAnsi="等线(中文正文)" w:cs="等线(中文正文)" w:eastAsia="等线(中文正文)"/>
          <w:b w:val="false"/>
          <w:i w:val="false"/>
          <w:sz w:val="20"/>
        </w:rPr>
        <w:t/>
      </w:r>
    </w:p>
    <w:p>
      <w:pPr>
        <w:pStyle w:val="ab"/>
        <w:numPr>
          <w:numId w:val="2"/>
        </w:numPr>
      </w:pPr>
      <w:r>
        <w:t>02:29 收支变化分析：收入增速回正，支出增速放缓</w:t>
      </w:r>
    </w:p>
    <w:p>
      <w:r>
        <w:rPr>
          <w:rFonts w:ascii="等线(中文正文)" w:hAnsi="等线(中文正文)" w:cs="等线(中文正文)" w:eastAsia="等线(中文正文)"/>
          <w:b w:val="false"/>
          <w:i w:val="false"/>
          <w:sz w:val="20"/>
        </w:rPr>
        <w:t>对话分析了收支变化情况，收入端在四月份实现修复回正，主要受取消出口退税、企业所得税和增值税改善、个人所得税抬升等因素影响。支出端则因专项债发行节奏放缓而出现明显放缓，基建、民生类支出也有所下降，反映出当前土地市场仍处于磨底状态。</w:t>
      </w:r>
    </w:p>
    <w:p>
      <w:r>
        <w:rPr>
          <w:rFonts w:ascii="等线(中文正文)" w:hAnsi="等线(中文正文)" w:cs="等线(中文正文)" w:eastAsia="等线(中文正文)"/>
          <w:b w:val="false"/>
          <w:i w:val="false"/>
          <w:sz w:val="20"/>
        </w:rPr>
        <w:t/>
      </w:r>
    </w:p>
    <w:p>
      <w:pPr>
        <w:pStyle w:val="ab"/>
        <w:numPr>
          <w:numId w:val="3"/>
        </w:numPr>
      </w:pPr>
      <w:r>
        <w:t>09:50 财政收支分析与市场投资机会探讨</w:t>
      </w:r>
    </w:p>
    <w:p>
      <w:r>
        <w:rPr>
          <w:rFonts w:ascii="等线(中文正文)" w:hAnsi="等线(中文正文)" w:cs="等线(中文正文)" w:eastAsia="等线(中文正文)"/>
          <w:b w:val="false"/>
          <w:i w:val="false"/>
          <w:sz w:val="20"/>
        </w:rPr>
        <w:t>讨论了财政支出节奏、收入修复动能及地产拖累影响，提出经济下行压力下政策可能转向。同时，市场不确定性下科技主线表现强劲，美伊冲突进展影响避险情绪与原油价格，强调聚焦主线逻辑与投资机会。</w:t>
      </w:r>
    </w:p>
    <w:p>
      <w:r>
        <w:rPr>
          <w:rFonts w:ascii="等线(中文正文)" w:hAnsi="等线(中文正文)" w:cs="等线(中文正文)" w:eastAsia="等线(中文正文)"/>
          <w:b w:val="false"/>
          <w:i w:val="false"/>
          <w:sz w:val="20"/>
        </w:rPr>
        <w:t/>
      </w:r>
    </w:p>
    <w:p>
      <w:pPr>
        <w:pStyle w:val="ab"/>
        <w:numPr>
          <w:numId w:val="4"/>
        </w:numPr>
      </w:pPr>
      <w:r>
        <w:t>15:22 美联储鹰派转向与全球资产配置策略</w:t>
      </w:r>
    </w:p>
    <w:p>
      <w:r>
        <w:rPr>
          <w:rFonts w:ascii="等线(中文正文)" w:hAnsi="等线(中文正文)" w:cs="等线(中文正文)" w:eastAsia="等线(中文正文)"/>
          <w:b w:val="false"/>
          <w:i w:val="false"/>
          <w:sz w:val="20"/>
        </w:rPr>
        <w:t>美联储近期释放鹰派信号，多数官员支持在通胀高企时加息，市场预期从降息转向年内加息。美联储新任主席面临通胀抬头的挑战，可能影响降息预期。外部不确定性如美伊冲突和油价波动，加剧了流动性环境的边际收紧。在全球资产配置框架下，强调安全资产的稀缺价值，油价高位震荡概率大，需关注其对风险资产定价的影响。</w:t>
      </w:r>
    </w:p>
    <w:p>
      <w:r>
        <w:rPr>
          <w:rFonts w:ascii="等线(中文正文)" w:hAnsi="等线(中文正文)" w:cs="等线(中文正文)" w:eastAsia="等线(中文正文)"/>
          <w:b w:val="false"/>
          <w:i w:val="false"/>
          <w:sz w:val="20"/>
        </w:rPr>
        <w:t/>
      </w:r>
    </w:p>
    <w:p>
      <w:pPr>
        <w:pStyle w:val="ab"/>
        <w:numPr>
          <w:numId w:val="5"/>
        </w:numPr>
      </w:pPr>
      <w:r>
        <w:t>18:24 A股市场震荡分化，科技主线维持强势</w:t>
      </w:r>
    </w:p>
    <w:p>
      <w:r>
        <w:rPr>
          <w:rFonts w:ascii="等线(中文正文)" w:hAnsi="等线(中文正文)" w:cs="等线(中文正文)" w:eastAsia="等线(中文正文)"/>
          <w:b w:val="false"/>
          <w:i w:val="false"/>
          <w:sz w:val="20"/>
        </w:rPr>
        <w:t>A股市场受海外流动性边际收紧及近期市场博弈加剧影响，呈现震荡分化特征，资金分歧加剧，板块轮动加速。尽管市场出现短期震荡，但整体交易活跃度维持高位，科技主线表现强势，科创50在华为消息刺激下大涨近6%。建议投资者关注结构性投资机会，围绕科技主线挖掘潜力。</w:t>
      </w:r>
    </w:p>
    <w:p>
      <w:r>
        <w:rPr>
          <w:rFonts w:ascii="等线(中文正文)" w:hAnsi="等线(中文正文)" w:cs="等线(中文正文)" w:eastAsia="等线(中文正文)"/>
          <w:b w:val="false"/>
          <w:i w:val="false"/>
          <w:sz w:val="20"/>
        </w:rPr>
        <w:t/>
      </w:r>
    </w:p>
    <w:p>
      <w:pPr>
        <w:pStyle w:val="ab"/>
        <w:numPr>
          <w:numId w:val="6"/>
        </w:numPr>
      </w:pPr>
      <w:r>
        <w:t>20:45 科技主线与防御配置：市场后续机会分析</w:t>
      </w:r>
    </w:p>
    <w:p>
      <w:r>
        <w:rPr>
          <w:rFonts w:ascii="等线(中文正文)" w:hAnsi="等线(中文正文)" w:cs="等线(中文正文)" w:eastAsia="等线(中文正文)"/>
          <w:b w:val="false"/>
          <w:i w:val="false"/>
          <w:sz w:val="20"/>
        </w:rPr>
        <w:t>对话围绕市场基本面和资金面变化，提出坚守科技景气主线、扩散布局涨价逻辑板块及重视防御性配置的策略。科技领域聚焦通信设备、半导体等高景气细分，同时关注PPI回升下的基础化工、有色金属等涨价逻辑板块，以及能源替代、红利板块的防御价值。强调在资源冲突与外部风险背景下，银行、公用事业等底仓配置的重要性。</w:t>
      </w:r>
    </w:p>
    <w:p>
      <w:r>
        <w:rPr>
          <w:rFonts w:ascii="等线(中文正文)" w:hAnsi="等线(中文正文)" w:cs="等线(中文正文)" w:eastAsia="等线(中文正文)"/>
          <w:b w:val="false"/>
          <w:i w:val="false"/>
          <w:sz w:val="20"/>
        </w:rPr>
        <w:t/>
      </w:r>
    </w:p>
    <w:p>
      <w:pPr>
        <w:pStyle w:val="a7"/>
      </w:pPr>
      <w:r>
        <w:t>发言总结</w:t>
      </w:r>
    </w:p>
    <w:p>
      <w:pPr>
        <w:pStyle w:val="ab"/>
        <w:numPr>
          <w:numId w:val="7"/>
        </w:numPr>
      </w:pPr>
      <w:r>
        <w:t>发言人1</w:t>
      </w:r>
    </w:p>
    <w:p>
      <w:r>
        <w:rPr>
          <w:rFonts w:ascii="等线(中文正文)" w:hAnsi="等线(中文正文)" w:cs="等线(中文正文)" w:eastAsia="等线(中文正文)"/>
          <w:b w:val="false"/>
          <w:i w:val="false"/>
          <w:sz w:val="20"/>
        </w:rPr>
        <w:t>他在主持的中国银河证券总量之声会议中，主要讨论了全球经济资本市场波动、地缘政治影响、中国财政政策及市场投资机会等多方面内容。会议首先回顾了1至4月的财政收支数据，指出财政收入表现韧性，但支出节奏明显放缓，特别是在专项债发行节奏减缓背景下。他强调了科技板块的持续增长潜力，并分析了地缘政治事件如美伊冲突对市场的影响，包括油价和通胀的潜在变化。会议最后，策略分析师王雪莹分享了市场投资机会，提出关注科技主线、受益于PPI回升的板块以及防御性板块作为投资策略。整体上，他及其团队强调了在当前复杂多变的国际局势和经济环境下，寻找结构性投资机会和坚守主线策略的重要性。</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问：在当前全球资本市场波动和地缘冲突的背景下，如何寻找中国的确定性投资机会？</w:t>
      </w:r>
    </w:p>
    <w:p>
      <w:r>
        <w:rPr>
          <w:rFonts w:ascii="等线(中文正文)" w:hAnsi="等线(中文正文)" w:cs="等线(中文正文)" w:eastAsia="等线(中文正文)"/>
          <w:b w:val="false"/>
          <w:i w:val="false"/>
          <w:sz w:val="20"/>
        </w:rPr>
        <w:t>发言人1 答：今天我们邀请到宏观团队的分析师吕博，他会就1至4月的财政收支数据给大家进行解读，并分析背后的财政政策发力方向，以帮助大家寻找当下中国的确定性投资机会。</w:t>
      </w:r>
    </w:p>
    <w:p>
      <w:r>
        <w:rPr>
          <w:rFonts w:ascii="等线(中文正文)" w:hAnsi="等线(中文正文)" w:cs="等线(中文正文)" w:eastAsia="等线(中文正文)"/>
          <w:b w:val="false"/>
          <w:i w:val="false"/>
          <w:sz w:val="20"/>
        </w:rPr>
        <w:t/>
      </w:r>
    </w:p>
    <w:p>
      <w:pPr>
        <w:pStyle w:val="ab"/>
      </w:pPr>
      <w:r>
        <w:t>发言人1 问：上周三公布的1至4月财政收支数据有哪些关键信息？</w:t>
      </w:r>
    </w:p>
    <w:p>
      <w:r>
        <w:rPr>
          <w:rFonts w:ascii="等线(中文正文)" w:hAnsi="等线(中文正文)" w:cs="等线(中文正文)" w:eastAsia="等线(中文正文)"/>
          <w:b w:val="false"/>
          <w:i w:val="false"/>
          <w:sz w:val="20"/>
        </w:rPr>
        <w:t>发言人1 答：根据数据，1至4月的财政收入增速修复回正至0.4%，支出增速则放缓至0.4%。收入端改善主要受出口退税取消、年初以来涨价因素对企业所得税和增值税的积极影响，以及个人所得税的增长。支出端放缓则是因为专项债发行节奏放缓，导致一本账支出增速明显放缓。</w:t>
      </w:r>
    </w:p>
    <w:p>
      <w:r>
        <w:rPr>
          <w:rFonts w:ascii="等线(中文正文)" w:hAnsi="等线(中文正文)" w:cs="等线(中文正文)" w:eastAsia="等线(中文正文)"/>
          <w:b w:val="false"/>
          <w:i w:val="false"/>
          <w:sz w:val="20"/>
        </w:rPr>
        <w:t/>
      </w:r>
    </w:p>
    <w:p>
      <w:pPr>
        <w:pStyle w:val="ab"/>
      </w:pPr>
      <w:r>
        <w:t>发言人1 问：二本（非税收入）及其支出的变化情况如何？</w:t>
      </w:r>
    </w:p>
    <w:p>
      <w:r>
        <w:rPr>
          <w:rFonts w:ascii="等线(中文正文)" w:hAnsi="等线(中文正文)" w:cs="等线(中文正文)" w:eastAsia="等线(中文正文)"/>
          <w:b w:val="false"/>
          <w:i w:val="false"/>
          <w:sz w:val="20"/>
        </w:rPr>
        <w:t>发言人1 答：二本支出持续下探，收入增速进一步降至负18.9%，这与当前地产投资和土地市场的状态相吻合。从支出端来看，1至4月份一本支出增速放缓至1.3%，而二本支出增速受四月份专项债发行放缓拖累，整体支出进度明显放缓。</w:t>
      </w:r>
    </w:p>
    <w:p>
      <w:r>
        <w:rPr>
          <w:rFonts w:ascii="等线(中文正文)" w:hAnsi="等线(中文正文)" w:cs="等线(中文正文)" w:eastAsia="等线(中文正文)"/>
          <w:b w:val="false"/>
          <w:i w:val="false"/>
          <w:sz w:val="20"/>
        </w:rPr>
        <w:t/>
      </w:r>
    </w:p>
    <w:p>
      <w:pPr>
        <w:pStyle w:val="ab"/>
      </w:pPr>
      <w:r>
        <w:t>发言人1 问：税收收入的具体变化情况如何？</w:t>
      </w:r>
    </w:p>
    <w:p>
      <w:r>
        <w:rPr>
          <w:rFonts w:ascii="等线(中文正文)" w:hAnsi="等线(中文正文)" w:cs="等线(中文正文)" w:eastAsia="等线(中文正文)"/>
          <w:b w:val="false"/>
          <w:i w:val="false"/>
          <w:sz w:val="20"/>
        </w:rPr>
        <w:t>发言人1 答：1至4月，税收收入同比增速提升至3.5%，其中税收支出增速从2.2%升至3.9%。4月以来，取消光伏产品出口退税对税收收入支撑作用转正，拉动税收增长0.7个百分点，成为税收改善的主要因素之一。</w:t>
      </w:r>
    </w:p>
    <w:p>
      <w:r>
        <w:rPr>
          <w:rFonts w:ascii="等线(中文正文)" w:hAnsi="等线(中文正文)" w:cs="等线(中文正文)" w:eastAsia="等线(中文正文)"/>
          <w:b w:val="false"/>
          <w:i w:val="false"/>
          <w:sz w:val="20"/>
        </w:rPr>
        <w:t/>
      </w:r>
    </w:p>
    <w:p>
      <w:pPr>
        <w:pStyle w:val="ab"/>
      </w:pPr>
      <w:r>
        <w:t>发言人1 问：企业所得税、增值税和个人所得税在税收增长中的贡献是什么？</w:t>
      </w:r>
    </w:p>
    <w:p>
      <w:r>
        <w:rPr>
          <w:rFonts w:ascii="等线(中文正文)" w:hAnsi="等线(中文正文)" w:cs="等线(中文正文)" w:eastAsia="等线(中文正文)"/>
          <w:b w:val="false"/>
          <w:i w:val="false"/>
          <w:sz w:val="20"/>
        </w:rPr>
        <w:t>发言人1 答：企业所得税增速收窄至负0.5%，其对税收的拖累影响也显著收窄；增值税增速虽下降但仍为拉动项；而个人所得税累计同比增速上升至12.2%，成为税收增长的重要贡献因素。</w:t>
      </w:r>
    </w:p>
    <w:p>
      <w:r>
        <w:rPr>
          <w:rFonts w:ascii="等线(中文正文)" w:hAnsi="等线(中文正文)" w:cs="等线(中文正文)" w:eastAsia="等线(中文正文)"/>
          <w:b w:val="false"/>
          <w:i w:val="false"/>
          <w:sz w:val="20"/>
        </w:rPr>
        <w:t/>
      </w:r>
    </w:p>
    <w:p>
      <w:pPr>
        <w:pStyle w:val="ab"/>
      </w:pPr>
      <w:r>
        <w:t>发言人1 问：专项债发行情况如何？</w:t>
      </w:r>
    </w:p>
    <w:p>
      <w:r>
        <w:rPr>
          <w:rFonts w:ascii="等线(中文正文)" w:hAnsi="等线(中文正文)" w:cs="等线(中文正文)" w:eastAsia="等线(中文正文)"/>
          <w:b w:val="false"/>
          <w:i w:val="false"/>
          <w:sz w:val="20"/>
        </w:rPr>
        <w:t>发言人1 答：四月份专项债发行规模约为1740亿，单月发行进度仅为4%，远低于1至3月月均8.8%的发行进度，显示出4月份专项债发行进度有明显切换。</w:t>
      </w:r>
    </w:p>
    <w:p>
      <w:r>
        <w:rPr>
          <w:rFonts w:ascii="等线(中文正文)" w:hAnsi="等线(中文正文)" w:cs="等线(中文正文)" w:eastAsia="等线(中文正文)"/>
          <w:b w:val="false"/>
          <w:i w:val="false"/>
          <w:sz w:val="20"/>
        </w:rPr>
        <w:t/>
      </w:r>
    </w:p>
    <w:p>
      <w:pPr>
        <w:pStyle w:val="ab"/>
      </w:pPr>
      <w:r>
        <w:t>发言人1 问：四月底的财政治局会议后，财政支出和收入节奏是如何安排的？</w:t>
      </w:r>
    </w:p>
    <w:p>
      <w:r>
        <w:rPr>
          <w:rFonts w:ascii="等线(中文正文)" w:hAnsi="等线(中文正文)" w:cs="等线(中文正文)" w:eastAsia="等线(中文正文)"/>
          <w:b w:val="false"/>
          <w:i w:val="false"/>
          <w:sz w:val="20"/>
        </w:rPr>
        <w:t>发言人1 答：按照四月底财政治局会议的指示，财政支出节奏将坚持用好用足现有的宏观政策。收入端方面，随着涨价因素的利好，修复动能有望延续，但二本地产对财政的拖累可能仍将持续。</w:t>
      </w:r>
    </w:p>
    <w:p>
      <w:r>
        <w:rPr>
          <w:rFonts w:ascii="等线(中文正文)" w:hAnsi="等线(中文正文)" w:cs="等线(中文正文)" w:eastAsia="等线(中文正文)"/>
          <w:b w:val="false"/>
          <w:i w:val="false"/>
          <w:sz w:val="20"/>
        </w:rPr>
        <w:t/>
      </w:r>
    </w:p>
    <w:p>
      <w:pPr>
        <w:pStyle w:val="ab"/>
      </w:pPr>
      <w:r>
        <w:t>发言人1 问：二季度经济下行压力加大时，政策会如何调整以促进经济回升？</w:t>
      </w:r>
    </w:p>
    <w:p>
      <w:r>
        <w:rPr>
          <w:rFonts w:ascii="等线(中文正文)" w:hAnsi="等线(中文正文)" w:cs="等线(中文正文)" w:eastAsia="等线(中文正文)"/>
          <w:b w:val="false"/>
          <w:i w:val="false"/>
          <w:sz w:val="20"/>
        </w:rPr>
        <w:t>发言人1 答：若二季度经济下行压力加大，政策可能会适时转向，通过加快支出节奏、强化重点领域托底来进一步促进经济回升基础。</w:t>
      </w:r>
    </w:p>
    <w:p>
      <w:r>
        <w:rPr>
          <w:rFonts w:ascii="等线(中文正文)" w:hAnsi="等线(中文正文)" w:cs="等线(中文正文)" w:eastAsia="等线(中文正文)"/>
          <w:b w:val="false"/>
          <w:i w:val="false"/>
          <w:sz w:val="20"/>
        </w:rPr>
        <w:t/>
      </w:r>
    </w:p>
    <w:p>
      <w:pPr>
        <w:pStyle w:val="ab"/>
      </w:pPr>
      <w:r>
        <w:t>发言人1 问：当前市场面临的主要不确定性是什么？科技主线的投资机会如何？美伊冲突最新进展如何，对市场有何影响？</w:t>
      </w:r>
    </w:p>
    <w:p>
      <w:r>
        <w:rPr>
          <w:rFonts w:ascii="等线(中文正文)" w:hAnsi="等线(中文正文)" w:cs="等线(中文正文)" w:eastAsia="等线(中文正文)"/>
          <w:b w:val="false"/>
          <w:i w:val="false"/>
          <w:sz w:val="20"/>
        </w:rPr>
        <w:t>发言人1 答：当前市场面临很多不确定性，尽管外部不确定性反复发生，但科技主线在未来呈现强者恒强的市场表现，建议聚焦这一主线逻辑。美伊双方接近达成延长停火协议，这有助于缓解原油价格风险溢价和全球避险情绪，但核心议题尚未解决，因此后续冲突局势仍具反复性不确定性。</w:t>
      </w:r>
    </w:p>
    <w:p>
      <w:r>
        <w:rPr>
          <w:rFonts w:ascii="等线(中文正文)" w:hAnsi="等线(中文正文)" w:cs="等线(中文正文)" w:eastAsia="等线(中文正文)"/>
          <w:b w:val="false"/>
          <w:i w:val="false"/>
          <w:sz w:val="20"/>
        </w:rPr>
        <w:t/>
      </w:r>
    </w:p>
    <w:p>
      <w:pPr>
        <w:pStyle w:val="ab"/>
      </w:pPr>
      <w:r>
        <w:t>发言人1 问：美联储货币政策变化及其对市场预期的影响是什么？</w:t>
      </w:r>
    </w:p>
    <w:p>
      <w:r>
        <w:rPr>
          <w:rFonts w:ascii="等线(中文正文)" w:hAnsi="等线(中文正文)" w:cs="等线(中文正文)" w:eastAsia="等线(中文正文)"/>
          <w:b w:val="false"/>
          <w:i w:val="false"/>
          <w:sz w:val="20"/>
        </w:rPr>
        <w:t>发言人1 答：美联储议息会议释放鹰派信号，多数官员支持通胀持续高企时加息，市场预期年内可能加息而非降息。同时，鲍伦伯格接任主席后面临的难题在于当前宏观环境并不利于宽松政策转向，叠加油价高位震荡扰动通胀预期，全球流动性环境边际转紧，这对全球资产配置框架和A股市场产生影响。</w:t>
      </w:r>
    </w:p>
    <w:p>
      <w:r>
        <w:rPr>
          <w:rFonts w:ascii="等线(中文正文)" w:hAnsi="等线(中文正文)" w:cs="等线(中文正文)" w:eastAsia="等线(中文正文)"/>
          <w:b w:val="false"/>
          <w:i w:val="false"/>
          <w:sz w:val="20"/>
        </w:rPr>
        <w:t/>
      </w:r>
    </w:p>
    <w:p>
      <w:pPr>
        <w:pStyle w:val="ab"/>
      </w:pPr>
      <w:r>
        <w:t>发言人1 问：上周市场出现短期震荡的原因是什么？在上周的行情中有哪些关键观察点？</w:t>
      </w:r>
    </w:p>
    <w:p>
      <w:r>
        <w:rPr>
          <w:rFonts w:ascii="等线(中文正文)" w:hAnsi="等线(中文正文)" w:cs="等线(中文正文)" w:eastAsia="等线(中文正文)"/>
          <w:b w:val="false"/>
          <w:i w:val="false"/>
          <w:sz w:val="20"/>
        </w:rPr>
        <w:t>发言人1 答：上周市场的短期震荡主要是由于行情涨幅积累较大，市场情绪容易受到扰动，获利盘涌出形成调整压力。这主要是由于外部宏观扰动、板块轮动加速以及资金短期获利了结所共同作用的结果。关键观察点有两点：首先，整体市场交易活跃度依然维持在较高水平，即使在港股休市导致北向资金缺席的情况下，成交额仍突破3.2万亿元，显示出市场内部交投意愿强烈。其次，结构性角度看，科技主线持续强势，特别是在华为消息刺激下，科创50大涨近6%，呈现强者恒强格局。</w:t>
      </w:r>
    </w:p>
    <w:p>
      <w:r>
        <w:rPr>
          <w:rFonts w:ascii="等线(中文正文)" w:hAnsi="等线(中文正文)" w:cs="等线(中文正文)" w:eastAsia="等线(中文正文)"/>
          <w:b w:val="false"/>
          <w:i w:val="false"/>
          <w:sz w:val="20"/>
        </w:rPr>
        <w:t/>
      </w:r>
    </w:p>
    <w:p>
      <w:pPr>
        <w:pStyle w:val="ab"/>
      </w:pPr>
      <w:r>
        <w:t>发言人1 问：从基本面和资金面的角度，当前市场呈现出怎样的趋势？</w:t>
      </w:r>
    </w:p>
    <w:p>
      <w:r>
        <w:rPr>
          <w:rFonts w:ascii="等线(中文正文)" w:hAnsi="等线(中文正文)" w:cs="等线(中文正文)" w:eastAsia="等线(中文正文)"/>
          <w:b w:val="false"/>
          <w:i w:val="false"/>
          <w:sz w:val="20"/>
        </w:rPr>
        <w:t>发言人1 答：当前市场正从传统要素驱动增长向创新驱动增长转型，一季度高景气度集中在TMT板块和高端制造细分领域。二季度及后续，应关注产业趋势和景气度延续情况。资金面上，A股市场资金正从金融地产和传统周期行业流向高研发、高壁垒及高增量的硬科技成长板块，表明市场风格正在向成长风格集中。</w:t>
      </w:r>
    </w:p>
    <w:p>
      <w:r>
        <w:rPr>
          <w:rFonts w:ascii="等线(中文正文)" w:hAnsi="等线(中文正文)" w:cs="等线(中文正文)" w:eastAsia="等线(中文正文)"/>
          <w:b w:val="false"/>
          <w:i w:val="false"/>
          <w:sz w:val="20"/>
        </w:rPr>
        <w:t/>
      </w:r>
    </w:p>
    <w:p>
      <w:pPr>
        <w:pStyle w:val="ab"/>
      </w:pPr>
      <w:r>
        <w:t>发言人1 问：对于后续市场的配置机会，银河证券提出了怎样的策略安排？</w:t>
      </w:r>
    </w:p>
    <w:p>
      <w:r>
        <w:rPr>
          <w:rFonts w:ascii="等线(中文正文)" w:hAnsi="等线(中文正文)" w:cs="等线(中文正文)" w:eastAsia="等线(中文正文)"/>
          <w:b w:val="false"/>
          <w:i w:val="false"/>
          <w:sz w:val="20"/>
        </w:rPr>
        <w:t>发言人1 答：银河证券提出了三个部分的配置策略安排：一是坚守科技主线，关注通信设备、算力存储、半导体、计算机设备、电力设备、储能等细分领域；二是扩散布局，关注受益于PPI回升和涨价逻辑的板块，如基础化工、有色金属、建材、钢铁等；三是重视防御，强调能源替代需求及红利板块的配置价值，包括煤炭、新能源、金融（特别是银行）和公用事业等。</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2026-05-25T17:40:13Z</dcterms:created>
  <dc:creator>Apache POI</dc:creator>
</cp:coreProperties>
</file>