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新氧[SY.O]2026年第一季度业绩交流会 260522_导读</w:t>
      </w:r>
    </w:p>
    <w:p>
      <w:pPr>
        <w:pStyle w:val="a0"/>
        <w:jc w:val="center"/>
      </w:pPr>
      <w:r>
        <w:t>2026年05月23日 10:16</w:t>
      </w:r>
    </w:p>
    <w:p>
      <w:pPr>
        <w:pStyle w:val="a7"/>
      </w:pPr>
      <w:r>
        <w:t>关键词</w:t>
      </w:r>
    </w:p>
    <w:p>
      <w:r>
        <w:rPr>
          <w:rFonts w:ascii="等线(中文正文)" w:hAnsi="等线(中文正文)" w:cs="等线(中文正文)" w:eastAsia="等线(中文正文)"/>
          <w:b w:val="false"/>
          <w:i w:val="false"/>
          <w:sz w:val="20"/>
        </w:rPr>
        <w:t xml:space="preserve">新氧 连锁业务 收入 门店 用户 胶原 供应链 医疗 合规 效率 品牌 扩张 标准 质量 服务 体验 增长 头部 竞争 医美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公司在面对竞争激烈的市场环境中，通过提供多样化的产品和服务，有效满足用户需求，同时提升服务质量和医疗专业性。为确保高质量医疗交付能力，公司吸引并培养优质医生团队，建立多层次的长期人才绑定机制，有效控制服务质量和医生流动率。通过与上游优质厂商合作推出新品，如动能素系列和胶原蛋白产品，丰富了产品矩阵，有效推动了存量用户的再消费和客单价提升。在人才储备和组织能力建设方面，公司采用了包括业绩提成、成长路径设计、深度合作提供定制化培训等多种激励措施，以及通过员工期权激励政策增强团队归属感和品牌影响力。诊疗体系升级和医生首诊制的推进，提高了诊断过程的标准化与自动化水平，从而提升门店运营效率和用户信任感。
2026年第一季度，公司取得了显著的业绩增长，总收入达到4.33亿元人民币，同比增长约46%，其中连锁业务收入达2.82亿元人民币，同比增长约186%。公司持续在医美行业深化布局，通过优化连锁业务、提升服务质量、加强医生团队建设以及完善供应链体系等措施，实现了业务的高质量增长。新氧青春诊所作为核心业务，门店数量、服务人次和用户规模均居行业领先地位，显示出强劲的增长势头和品牌影响力。公司强调了对非手术类医美项目（轻医美）的重视，该领域已成为市场的主流，且预计未来将持续增长。展望未来，公司计划进一步扩大业务规模，提升服务质量和效率，以巩固其在医美行业的领先地位，并致力于成为具有全球竞争力的品牌。</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2026年第一季度医美行业财报电话会议</w:t>
      </w:r>
    </w:p>
    <w:p>
      <w:r>
        <w:rPr>
          <w:rFonts w:ascii="等线(中文正文)" w:hAnsi="等线(中文正文)" w:cs="等线(中文正文)" w:eastAsia="等线(中文正文)"/>
          <w:b w:val="false"/>
          <w:i w:val="false"/>
          <w:sz w:val="20"/>
        </w:rPr>
        <w:t>2026年第一季度，中国医美行业持续深化变化，头部机构通过规模化运营和标准化交付体系实现高质量增长。新氧公司持续发力连锁业务，推进规模与效益双轮驱动战略，实现总收入4.33亿元人民币，同比增长约46%，其中连锁业务收入达2.82亿元人民币，同比增长约186%。</w:t>
      </w:r>
    </w:p>
    <w:p>
      <w:r>
        <w:rPr>
          <w:rFonts w:ascii="等线(中文正文)" w:hAnsi="等线(中文正文)" w:cs="等线(中文正文)" w:eastAsia="等线(中文正文)"/>
          <w:b w:val="false"/>
          <w:i w:val="false"/>
          <w:sz w:val="20"/>
        </w:rPr>
        <w:t/>
      </w:r>
    </w:p>
    <w:p>
      <w:pPr>
        <w:pStyle w:val="ab"/>
        <w:numPr>
          <w:numId w:val="2"/>
        </w:numPr>
      </w:pPr>
      <w:r>
        <w:t>02:19 2026年中国金属行业与医美连锁市场的发展与业绩</w:t>
      </w:r>
    </w:p>
    <w:p>
      <w:r>
        <w:rPr>
          <w:rFonts w:ascii="等线(中文正文)" w:hAnsi="等线(中文正文)" w:cs="等线(中文正文)" w:eastAsia="等线(中文正文)"/>
          <w:b w:val="false"/>
          <w:i w:val="false"/>
          <w:sz w:val="20"/>
        </w:rPr>
        <w:t>2026年，中国金属行业需求趋于常规化，供应持续增长，头部企业通过提升运营能力和效率取得佳绩。在医美连锁市场，新氧青春诊所领跑，门店数量、服务人次和用户规模行业第一，运营效率和盈利能力稳步提升。一季度，门店总数达59家，核销人次破14.8万，同比增长172%，活跃用户超21万。通过深化平台合作与内容投放，获客成本控制出色，品牌影响力增强，单店盈利门店增至41家，整体毛利率达27%，经营效益显著。未来，将继续扩大核心一线城市门店规模，优化运营效率，提升财务模型。</w:t>
      </w:r>
    </w:p>
    <w:p>
      <w:r>
        <w:rPr>
          <w:rFonts w:ascii="等线(中文正文)" w:hAnsi="等线(中文正文)" w:cs="等线(中文正文)" w:eastAsia="等线(中文正文)"/>
          <w:b w:val="false"/>
          <w:i w:val="false"/>
          <w:sz w:val="20"/>
        </w:rPr>
        <w:t/>
      </w:r>
    </w:p>
    <w:p>
      <w:pPr>
        <w:pStyle w:val="ab"/>
        <w:numPr>
          <w:numId w:val="3"/>
        </w:numPr>
      </w:pPr>
      <w:r>
        <w:t>09:07 新氧医疗提升专业能力与口碑建设</w:t>
      </w:r>
    </w:p>
    <w:p>
      <w:r>
        <w:rPr>
          <w:rFonts w:ascii="等线(中文正文)" w:hAnsi="等线(中文正文)" w:cs="等线(中文正文)" w:eastAsia="等线(中文正文)"/>
          <w:b w:val="false"/>
          <w:i w:val="false"/>
          <w:sz w:val="20"/>
        </w:rPr>
        <w:t>新氧医疗通过扩充全职医生团队、加强医生培训、推进数字化建设，以及建立医学培训中心和全国指挥控制中心，持续提升医疗交付能力与服务品质。公司注重临床效果评估，确保产品安全有效，同时通过安全合规、用户体验和服务设计优化，巩固用户信任与口碑，形成正向飞轮，驱动业务可持续发展。</w:t>
      </w:r>
    </w:p>
    <w:p>
      <w:r>
        <w:rPr>
          <w:rFonts w:ascii="等线(中文正文)" w:hAnsi="等线(中文正文)" w:cs="等线(中文正文)" w:eastAsia="等线(中文正文)"/>
          <w:b w:val="false"/>
          <w:i w:val="false"/>
          <w:sz w:val="20"/>
        </w:rPr>
        <w:t/>
      </w:r>
    </w:p>
    <w:p>
      <w:pPr>
        <w:pStyle w:val="ab"/>
        <w:numPr>
          <w:numId w:val="4"/>
        </w:numPr>
      </w:pPr>
      <w:r>
        <w:t>15:32 深化供应链合作，推动医美行业高质量发展</w:t>
      </w:r>
    </w:p>
    <w:p>
      <w:r>
        <w:rPr>
          <w:rFonts w:ascii="等线(中文正文)" w:hAnsi="等线(中文正文)" w:cs="等线(中文正文)" w:eastAsia="等线(中文正文)"/>
          <w:b w:val="false"/>
          <w:i w:val="false"/>
          <w:sz w:val="20"/>
        </w:rPr>
        <w:t>对话强调了通过深化与上游企业的合作，构建多元化供应链体系，实现双赢，助力医美行业健康繁荣。具体措施包括与锦博生物的战略合作，推出独家专供新品及绿标产品体系，优化供应链效率，满足用户需求。此外，通过爆款产品带动大单品策略，提升收入贡献占比。未来将推进千店连锁战略，持续优化运营，创造长期价值，推动行业可持续发展。</w:t>
      </w:r>
    </w:p>
    <w:p>
      <w:r>
        <w:rPr>
          <w:rFonts w:ascii="等线(中文正文)" w:hAnsi="等线(中文正文)" w:cs="等线(中文正文)" w:eastAsia="等线(中文正文)"/>
          <w:b w:val="false"/>
          <w:i w:val="false"/>
          <w:sz w:val="20"/>
        </w:rPr>
        <w:t/>
      </w:r>
    </w:p>
    <w:p>
      <w:pPr>
        <w:pStyle w:val="ab"/>
        <w:numPr>
          <w:numId w:val="5"/>
        </w:numPr>
      </w:pPr>
      <w:r>
        <w:t>20:04 一季度财务表现与公司未来发展策略</w:t>
      </w:r>
    </w:p>
    <w:p>
      <w:r>
        <w:rPr>
          <w:rFonts w:ascii="等线(中文正文)" w:hAnsi="等线(中文正文)" w:cs="等线(中文正文)" w:eastAsia="等线(中文正文)"/>
          <w:b w:val="false"/>
          <w:i w:val="false"/>
          <w:sz w:val="20"/>
        </w:rPr>
        <w:t>对话围绕一季度财务表现展开，强调了医疗美容行业高质量发展阶段中，标准化医疗能力、运营效率和供应链的重要性。公司一季度总收入增长45.6%，主要得益于品牌医疗中心业务的持续增长。财务VP报告了各业务板块的收入情况，指出美学治疗服务收入显著增长，占比超65%。运营方面，54家so Young诊所分布于15大城市，其中41家实现盈利。此外，还提到了信息及预约服务、医疗产品销售等其他业务的收入变化。公司对未来的发展充满信心，将持续优化运营与财务表现，创造用户与股东价值。</w:t>
      </w:r>
    </w:p>
    <w:p>
      <w:r>
        <w:rPr>
          <w:rFonts w:ascii="等线(中文正文)" w:hAnsi="等线(中文正文)" w:cs="等线(中文正文)" w:eastAsia="等线(中文正文)"/>
          <w:b w:val="false"/>
          <w:i w:val="false"/>
          <w:sz w:val="20"/>
        </w:rPr>
        <w:t/>
      </w:r>
    </w:p>
    <w:p>
      <w:pPr>
        <w:pStyle w:val="ab"/>
        <w:numPr>
          <w:numId w:val="6"/>
        </w:numPr>
      </w:pPr>
      <w:r>
        <w:t>26:48 公司营收与成本分析及未来展望</w:t>
      </w:r>
    </w:p>
    <w:p>
      <w:r>
        <w:rPr>
          <w:rFonts w:ascii="等线(中文正文)" w:hAnsi="等线(中文正文)" w:cs="等线(中文正文)" w:eastAsia="等线(中文正文)"/>
          <w:b w:val="false"/>
          <w:i w:val="false"/>
          <w:sz w:val="20"/>
        </w:rPr>
        <w:t>财务报告详细解析了成本结构，包括治疗服务、信息与预订服务、医疗产品及维护服务等，指出总运营成本上升但低于营收增速。销售与市场、一般与行政成本增加，研发成本减少。净利润税前亏损，但现金及等价物总额略有下降，反映出战略资本分配与品牌中心扩展策略。展望未来，公司计划继续扩大品牌中心，推动增长。</w:t>
      </w:r>
    </w:p>
    <w:p>
      <w:r>
        <w:rPr>
          <w:rFonts w:ascii="等线(中文正文)" w:hAnsi="等线(中文正文)" w:cs="等线(中文正文)" w:eastAsia="等线(中文正文)"/>
          <w:b w:val="false"/>
          <w:i w:val="false"/>
          <w:sz w:val="20"/>
        </w:rPr>
        <w:t/>
      </w:r>
    </w:p>
    <w:p>
      <w:pPr>
        <w:pStyle w:val="ab"/>
        <w:numPr>
          <w:numId w:val="7"/>
        </w:numPr>
      </w:pPr>
      <w:r>
        <w:t>30:37 中国医美行业现状与未来机遇</w:t>
      </w:r>
    </w:p>
    <w:p>
      <w:r>
        <w:rPr>
          <w:rFonts w:ascii="等线(中文正文)" w:hAnsi="等线(中文正文)" w:cs="等线(中文正文)" w:eastAsia="等线(中文正文)"/>
          <w:b w:val="false"/>
          <w:i w:val="false"/>
          <w:sz w:val="20"/>
        </w:rPr>
        <w:t>对话探讨了中国医美行业的发展现状，指出尽管整体增速放缓，但轻医美市场占比接近八成，成为主流，展现出全球领先的增长潜力。消费者习惯变化推动行业向抗衰、理性消费及普及化方向发展。未来，行业将进入供给丰富、价格透明、竞争成熟的阶段，上游供给加速，特别是童颜胶原蛋白等热门赛道，预计将持续有新产品获批，提供更优的采购成本和用户体验。</w:t>
      </w:r>
    </w:p>
    <w:p>
      <w:r>
        <w:rPr>
          <w:rFonts w:ascii="等线(中文正文)" w:hAnsi="等线(中文正文)" w:cs="等线(中文正文)" w:eastAsia="等线(中文正文)"/>
          <w:b w:val="false"/>
          <w:i w:val="false"/>
          <w:sz w:val="20"/>
        </w:rPr>
        <w:t/>
      </w:r>
    </w:p>
    <w:p>
      <w:pPr>
        <w:pStyle w:val="ab"/>
        <w:numPr>
          <w:numId w:val="8"/>
        </w:numPr>
      </w:pPr>
      <w:r>
        <w:t>37:48 中医美机构的差异化定位与未来展望</w:t>
      </w:r>
    </w:p>
    <w:p>
      <w:r>
        <w:rPr>
          <w:rFonts w:ascii="等线(中文正文)" w:hAnsi="等线(中文正文)" w:cs="等线(中文正文)" w:eastAsia="等线(中文正文)"/>
          <w:b w:val="false"/>
          <w:i w:val="false"/>
          <w:sz w:val="20"/>
        </w:rPr>
        <w:t>中医美机构通过提供效果显著、价格合理且安全可靠的产品与服务，找到差异化定位，形成错位竞争。未来，中国医美市场预计2030年突破6000亿规模，标准化服务带来规模化扩张，品牌有信心成为千家级别连锁机构之一。</w:t>
      </w:r>
    </w:p>
    <w:p>
      <w:r>
        <w:rPr>
          <w:rFonts w:ascii="等线(中文正文)" w:hAnsi="等线(中文正文)" w:cs="等线(中文正文)" w:eastAsia="等线(中文正文)"/>
          <w:b w:val="false"/>
          <w:i w:val="false"/>
          <w:sz w:val="20"/>
        </w:rPr>
        <w:t/>
      </w:r>
    </w:p>
    <w:p>
      <w:pPr>
        <w:pStyle w:val="ab"/>
        <w:numPr>
          <w:numId w:val="9"/>
        </w:numPr>
      </w:pPr>
      <w:r>
        <w:t>40:43 提升会员价值与拓展大单品策略</w:t>
      </w:r>
    </w:p>
    <w:p>
      <w:r>
        <w:rPr>
          <w:rFonts w:ascii="等线(中文正文)" w:hAnsi="等线(中文正文)" w:cs="等线(中文正文)" w:eastAsia="等线(中文正文)"/>
          <w:b w:val="false"/>
          <w:i w:val="false"/>
          <w:sz w:val="20"/>
        </w:rPr>
        <w:t>讨论了高价值用户消费提升空间及品类延展策略，通过专项管理L3+会员、差异化权益、个性化服务和精选SKU满足多元需求，持续提升生命周期价值。同时，扩充中高端品相供给，推行联合治疗方案，有效提升客单价。现有爆款如热玛吉、BVL等表现突出，新品如动能素系列、胶原蛋白产品展现出强劲销售动能，丰富中高端产品矩阵，带动存量用户再消费和客单价提升。</w:t>
      </w:r>
    </w:p>
    <w:p>
      <w:r>
        <w:rPr>
          <w:rFonts w:ascii="等线(中文正文)" w:hAnsi="等线(中文正文)" w:cs="等线(中文正文)" w:eastAsia="等线(中文正文)"/>
          <w:b w:val="false"/>
          <w:i w:val="false"/>
          <w:sz w:val="20"/>
        </w:rPr>
        <w:t/>
      </w:r>
    </w:p>
    <w:p>
      <w:pPr>
        <w:pStyle w:val="ab"/>
        <w:numPr>
          <w:numId w:val="10"/>
        </w:numPr>
      </w:pPr>
      <w:r>
        <w:t>44:51 公司医疗人才储备与组织能力建设分享</w:t>
      </w:r>
    </w:p>
    <w:p>
      <w:r>
        <w:rPr>
          <w:rFonts w:ascii="等线(中文正文)" w:hAnsi="等线(中文正文)" w:cs="等线(中文正文)" w:eastAsia="等线(中文正文)"/>
          <w:b w:val="false"/>
          <w:i w:val="false"/>
          <w:sz w:val="20"/>
        </w:rPr>
        <w:t>讨论了高质量医疗交付能力的重要性，强调了对医生人才的严格筛选与系统培训，介绍了多层次的人才激励与留存机制，以及通过员工期权激励政策促进个人与公司共同成长，展现了公司对医疗人才储备和组织能力建设的重视与成效。</w:t>
      </w:r>
    </w:p>
    <w:p>
      <w:r>
        <w:rPr>
          <w:rFonts w:ascii="等线(中文正文)" w:hAnsi="等线(中文正文)" w:cs="等线(中文正文)" w:eastAsia="等线(中文正文)"/>
          <w:b w:val="false"/>
          <w:i w:val="false"/>
          <w:sz w:val="20"/>
        </w:rPr>
        <w:t/>
      </w:r>
    </w:p>
    <w:p>
      <w:pPr>
        <w:pStyle w:val="ab"/>
        <w:numPr>
          <w:numId w:val="11"/>
        </w:numPr>
      </w:pPr>
      <w:r>
        <w:t>50:43 公司创新诊疗体系与医生首诊制的推进</w:t>
      </w:r>
    </w:p>
    <w:p>
      <w:r>
        <w:rPr>
          <w:rFonts w:ascii="等线(中文正文)" w:hAnsi="等线(中文正文)" w:cs="等线(中文正文)" w:eastAsia="等线(中文正文)"/>
          <w:b w:val="false"/>
          <w:i w:val="false"/>
          <w:sz w:val="20"/>
        </w:rPr>
        <w:t>对话围绕公司在传统诊疗体系重构上的创新展开，包括诊疗体系升级与医生首诊制的实施。通过与行业专家合作，公司创建了标准化的诊疗指南，并计划利用二次开发的皮肤检测仪结合大数据与AI算法实现诊疗方案的自动推荐，旨在提升诊断标准化与自动化水平，优化门店运营效率。同时，推行医生首诊制，让医生在初次面诊时介入，咨询师角色调整为辅助医生，强调医疗专业性，增强用户信任，提高转化率。目前，医生首诊制已在部分门店试点，计划未来全面推广。</w:t>
      </w:r>
    </w:p>
    <w:p>
      <w:r>
        <w:rPr>
          <w:rFonts w:ascii="等线(中文正文)" w:hAnsi="等线(中文正文)" w:cs="等线(中文正文)" w:eastAsia="等线(中文正文)"/>
          <w:b w:val="false"/>
          <w:i w:val="false"/>
          <w:sz w:val="20"/>
        </w:rPr>
        <w:t/>
      </w:r>
    </w:p>
    <w:p>
      <w:pPr>
        <w:pStyle w:val="a7"/>
      </w:pPr>
      <w:r>
        <w:t>发言总结</w:t>
      </w:r>
    </w:p>
    <w:p>
      <w:pPr>
        <w:pStyle w:val="ab"/>
        <w:numPr>
          <w:numId w:val="12"/>
        </w:numPr>
      </w:pPr>
      <w:r>
        <w:t>发言人1</w:t>
      </w:r>
    </w:p>
    <w:p>
      <w:r>
        <w:rPr>
          <w:rFonts w:ascii="等线(中文正文)" w:hAnsi="等线(中文正文)" w:cs="等线(中文正文)" w:eastAsia="等线(中文正文)"/>
          <w:b w:val="false"/>
          <w:i w:val="false"/>
          <w:sz w:val="20"/>
        </w:rPr>
        <w:t>他在电话会议中回顾了新氧科技公司在2026年第一季度的业绩，强调了其在医美行业中的领先地位，包括业绩增长、连锁业务的强劲表现以及规模化运营能力。他还提到了公司对标准化交付体系的重视，以及在专业医疗交付和供应链管理方面的持续优化。他展望了公司未来的发展方向，包括扩大门店规模、优化产品与获客策略，以及强化品牌影响力和用户转化能力。同时，他还讨论了中国医美市场的整体发展趋势，包括消费者特征和未来市场机遇，表达了对未来持续增长的乐观态度。
针对广发证券张望的问题，他表示，通过实施专项管理和提供差异化权益与个性化服务，结合精选SKU来满足用户需求，可以持续提升核心会员的生命周期价值。公司也将持续扩充中高端产品供给，通过联合治疗方案提升客单价，并强调了现有爆款产品如热玛吉和BVL等对提升UP值的贡献，以及与优质厂商合作推出的新品市场热度。
最后，他谈到了公司的人才储备和组织能力建设，包括优质医生的储备情况和为长期绑定专业人才设计的独特机制，如业绩提成、成长路径规划和深度合作等，以激励医生提高技术影响力和推动个人成长。他还介绍了公司通过诊疗体系升级和医生首诊制推进创新，以提高诊断过程的标准化和自动化水平，以及通过调整医生和咨询师的角色定位来增强医疗专业属性和用户信任感。</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问：在2026年第一季度，新氧公司的总收入和连锁业务收入分别实现了多少增长？</w:t>
      </w:r>
    </w:p>
    <w:p>
      <w:r>
        <w:rPr>
          <w:rFonts w:ascii="等线(中文正文)" w:hAnsi="等线(中文正文)" w:cs="等线(中文正文)" w:eastAsia="等线(中文正文)"/>
          <w:b w:val="false"/>
          <w:i w:val="false"/>
          <w:sz w:val="20"/>
        </w:rPr>
        <w:t>发言人1 答：2026年第一季度，新氧公司实现总收入4.33亿元人民币，同比增长约46%。其中，连锁业务收入达到2.82亿元人民币，同比增长约186%。</w:t>
      </w:r>
    </w:p>
    <w:p>
      <w:r>
        <w:rPr>
          <w:rFonts w:ascii="等线(中文正文)" w:hAnsi="等线(中文正文)" w:cs="等线(中文正文)" w:eastAsia="等线(中文正文)"/>
          <w:b w:val="false"/>
          <w:i w:val="false"/>
          <w:sz w:val="20"/>
        </w:rPr>
        <w:t/>
      </w:r>
    </w:p>
    <w:p>
      <w:pPr>
        <w:pStyle w:val="ab"/>
      </w:pPr>
      <w:r>
        <w:t>发言人1 问：新氧青春诊所目前在行业中的位置如何？门店数量和服务情况怎么样？</w:t>
      </w:r>
    </w:p>
    <w:p>
      <w:r>
        <w:rPr>
          <w:rFonts w:ascii="等线(中文正文)" w:hAnsi="等线(中文正文)" w:cs="等线(中文正文)" w:eastAsia="等线(中文正文)"/>
          <w:b w:val="false"/>
          <w:i w:val="false"/>
          <w:sz w:val="20"/>
        </w:rPr>
        <w:t>发言人1 答：新氧青春诊所作为中国轻医美连锁市场的领军机构，门店数量、服务人次、用户规模均居行业首位。截至当前发布会时，已进入17个城市，门店总数达到59家，较2025年末增加10家。一季度连锁核销人次突破14.8万次，同比增长172%，核销服务点数量超过32.5万个，同比增长164%。</w:t>
      </w:r>
    </w:p>
    <w:p>
      <w:r>
        <w:rPr>
          <w:rFonts w:ascii="等线(中文正文)" w:hAnsi="等线(中文正文)" w:cs="等线(中文正文)" w:eastAsia="等线(中文正文)"/>
          <w:b w:val="false"/>
          <w:i w:val="false"/>
          <w:sz w:val="20"/>
        </w:rPr>
        <w:t/>
      </w:r>
    </w:p>
    <w:p>
      <w:pPr>
        <w:pStyle w:val="ab"/>
      </w:pPr>
      <w:r>
        <w:t>发言人1 问：新氧在用户增长和用户生命周期价值方面取得了哪些进展？</w:t>
      </w:r>
    </w:p>
    <w:p>
      <w:r>
        <w:rPr>
          <w:rFonts w:ascii="等线(中文正文)" w:hAnsi="等线(中文正文)" w:cs="等线(中文正文)" w:eastAsia="等线(中文正文)"/>
          <w:b w:val="false"/>
          <w:i w:val="false"/>
          <w:sz w:val="20"/>
        </w:rPr>
        <w:t>发言人1 答：新氧的活跃用户规模持续扩大，在三月底突破了21万人，其中三级以上核心会员数超过6.3万，核心会员季度复购率维持高位。凭借良好的服务体验和用户口碑，一季度老带新占新客比例提升至52%。</w:t>
      </w:r>
    </w:p>
    <w:p>
      <w:r>
        <w:rPr>
          <w:rFonts w:ascii="等线(中文正文)" w:hAnsi="等线(中文正文)" w:cs="等线(中文正文)" w:eastAsia="等线(中文正文)"/>
          <w:b w:val="false"/>
          <w:i w:val="false"/>
          <w:sz w:val="20"/>
        </w:rPr>
        <w:t/>
      </w:r>
    </w:p>
    <w:p>
      <w:pPr>
        <w:pStyle w:val="ab"/>
      </w:pPr>
      <w:r>
        <w:t>发言人1 问：新氧在公域渠道获客及品牌影响力提升方面采取了哪些策略？</w:t>
      </w:r>
    </w:p>
    <w:p>
      <w:r>
        <w:rPr>
          <w:rFonts w:ascii="等线(中文正文)" w:hAnsi="等线(中文正文)" w:cs="等线(中文正文)" w:eastAsia="等线(中文正文)"/>
          <w:b w:val="false"/>
          <w:i w:val="false"/>
          <w:sz w:val="20"/>
        </w:rPr>
        <w:t>发言人1 答：新氧通过深化平台合作与高效内容投放，公域渠道的新客数量持续增加，同时整体获客成本得到出色控制。为提升品牌影响力，新氧持续与知名IP合作，例如在全国核心商圈开展迪士尼联名快闪活动，并邀请中国知名女星范冰冰与泰国当红女星麦体验并代言重磅胶原新品。</w:t>
      </w:r>
    </w:p>
    <w:p>
      <w:r>
        <w:rPr>
          <w:rFonts w:ascii="等线(中文正文)" w:hAnsi="等线(中文正文)" w:cs="等线(中文正文)" w:eastAsia="等线(中文正文)"/>
          <w:b w:val="false"/>
          <w:i w:val="false"/>
          <w:sz w:val="20"/>
        </w:rPr>
        <w:t/>
      </w:r>
    </w:p>
    <w:p>
      <w:pPr>
        <w:pStyle w:val="ab"/>
      </w:pPr>
      <w:r>
        <w:t>发言人1 问：新氧如何优化单店模型并提高经营效益？</w:t>
      </w:r>
    </w:p>
    <w:p>
      <w:r>
        <w:rPr>
          <w:rFonts w:ascii="等线(中文正文)" w:hAnsi="等线(中文正文)" w:cs="等线(中文正文)" w:eastAsia="等线(中文正文)"/>
          <w:b w:val="false"/>
          <w:i w:val="false"/>
          <w:sz w:val="20"/>
        </w:rPr>
        <w:t>发言人1 答：新氧依托标准化运营体系，进一步缩短新店爬坡周期，优化产品和获客策略，提升单店运营效率。一季度实现店端盈利的门店数量增至41家，现金流为正的门店达到48家，连锁业务整体毛利率达到27%。</w:t>
      </w:r>
    </w:p>
    <w:p>
      <w:r>
        <w:rPr>
          <w:rFonts w:ascii="等线(中文正文)" w:hAnsi="等线(中文正文)" w:cs="等线(中文正文)" w:eastAsia="等线(中文正文)"/>
          <w:b w:val="false"/>
          <w:i w:val="false"/>
          <w:sz w:val="20"/>
        </w:rPr>
        <w:t/>
      </w:r>
    </w:p>
    <w:p>
      <w:pPr>
        <w:pStyle w:val="ab"/>
      </w:pPr>
      <w:r>
        <w:t>发言人1 问：新氧未来在门店规模和单店收入规模方面的规划是什么？</w:t>
      </w:r>
    </w:p>
    <w:p>
      <w:r>
        <w:rPr>
          <w:rFonts w:ascii="等线(中文正文)" w:hAnsi="等线(中文正文)" w:cs="等线(中文正文)" w:eastAsia="等线(中文正文)"/>
          <w:b w:val="false"/>
          <w:i w:val="false"/>
          <w:sz w:val="20"/>
        </w:rPr>
        <w:t>发言人1 答：今年新氧将重点聚焦于核心一线城市，稳步扩大门店规模，提高服务可及性。随着规模效应释放、新店爬坡效率提升及运营效率优化，单店收入规模将持续增长，连锁财务模型将得到显著改善。</w:t>
      </w:r>
    </w:p>
    <w:p>
      <w:r>
        <w:rPr>
          <w:rFonts w:ascii="等线(中文正文)" w:hAnsi="等线(中文正文)" w:cs="等线(中文正文)" w:eastAsia="等线(中文正文)"/>
          <w:b w:val="false"/>
          <w:i w:val="false"/>
          <w:sz w:val="20"/>
        </w:rPr>
        <w:t/>
      </w:r>
    </w:p>
    <w:p>
      <w:pPr>
        <w:pStyle w:val="ab"/>
      </w:pPr>
      <w:r>
        <w:t>发言人1 问：新氧如何强化医疗交付能力和口碑建设？</w:t>
      </w:r>
    </w:p>
    <w:p>
      <w:r>
        <w:rPr>
          <w:rFonts w:ascii="等线(中文正文)" w:hAnsi="等线(中文正文)" w:cs="等线(中文正文)" w:eastAsia="等线(中文正文)"/>
          <w:b w:val="false"/>
          <w:i w:val="false"/>
          <w:sz w:val="20"/>
        </w:rPr>
        <w:t>发言人1 答：新氧医疗交付的专业能力和口碑建设是其可持续发展的基石。截至2026年3月末，新氧青春诊所有职医生团队已扩充至约230位，较2025年末增长9%，继续保持行业领先。同时，新氧也在持续加强医生人才队伍的专业能力和推进数字化建设，以提升用户体验和医疗标准执行的一致性。</w:t>
      </w:r>
    </w:p>
    <w:p>
      <w:r>
        <w:rPr>
          <w:rFonts w:ascii="等线(中文正文)" w:hAnsi="等线(中文正文)" w:cs="等线(中文正文)" w:eastAsia="等线(中文正文)"/>
          <w:b w:val="false"/>
          <w:i w:val="false"/>
          <w:sz w:val="20"/>
        </w:rPr>
        <w:t/>
      </w:r>
    </w:p>
    <w:p>
      <w:pPr>
        <w:pStyle w:val="ab"/>
      </w:pPr>
      <w:r>
        <w:t>发言人1 问：新阳清军诊所医学培训中心及全国指挥控制中心研发中心落成后，其主要功能和作用是什么？</w:t>
      </w:r>
    </w:p>
    <w:p>
      <w:r>
        <w:rPr>
          <w:rFonts w:ascii="等线(中文正文)" w:hAnsi="等线(中文正文)" w:cs="等线(中文正文)" w:eastAsia="等线(中文正文)"/>
          <w:b w:val="false"/>
          <w:i w:val="false"/>
          <w:sz w:val="20"/>
        </w:rPr>
        <w:t>发言人1 答：该中心主要聚焦医疗研发与培训，拥有自建的光电实验室、针剂实验室、离体实验室、检测实验室等设施，能够对市面上的所有产品和设备进行全面系统性评测，确保产品安全、有效、合理。同时，医学培训中心投入使用后，所有加入诊所的医生需通过封闭、系统性的技术提升培训并获得考核认证后才能上岗。</w:t>
      </w:r>
    </w:p>
    <w:p>
      <w:r>
        <w:rPr>
          <w:rFonts w:ascii="等线(中文正文)" w:hAnsi="等线(中文正文)" w:cs="等线(中文正文)" w:eastAsia="等线(中文正文)"/>
          <w:b w:val="false"/>
          <w:i w:val="false"/>
          <w:sz w:val="20"/>
        </w:rPr>
        <w:t/>
      </w:r>
    </w:p>
    <w:p>
      <w:pPr>
        <w:pStyle w:val="ab"/>
      </w:pPr>
      <w:r>
        <w:t>发言人1 问：这个中心如何帮助保障医疗安全和合规性？</w:t>
      </w:r>
    </w:p>
    <w:p>
      <w:r>
        <w:rPr>
          <w:rFonts w:ascii="等线(中文正文)" w:hAnsi="等线(中文正文)" w:cs="等线(中文正文)" w:eastAsia="等线(中文正文)"/>
          <w:b w:val="false"/>
          <w:i w:val="false"/>
          <w:sz w:val="20"/>
        </w:rPr>
        <w:t>发言人1 答：指挥控制中心作为连锁运营的大脑，具备安全合规闭环系统，通过远程监察、离线报警、应急联动等方式，实时介入响应，保障信阳总部对一线门店的安全合规监控。此外，还有用户体验办公室负责用户满意度设计、服务设计及客诉收集，确保任何用户反馈都能迅速得到处理和改进医疗服务流程。</w:t>
      </w:r>
    </w:p>
    <w:p>
      <w:r>
        <w:rPr>
          <w:rFonts w:ascii="等线(中文正文)" w:hAnsi="等线(中文正文)" w:cs="等线(中文正文)" w:eastAsia="等线(中文正文)"/>
          <w:b w:val="false"/>
          <w:i w:val="false"/>
          <w:sz w:val="20"/>
        </w:rPr>
        <w:t/>
      </w:r>
    </w:p>
    <w:p>
      <w:pPr>
        <w:pStyle w:val="ab"/>
      </w:pPr>
      <w:r>
        <w:t>发言人1 问：供应链方面，新阳是如何构建多元化供应链体系的？</w:t>
      </w:r>
    </w:p>
    <w:p>
      <w:r>
        <w:rPr>
          <w:rFonts w:ascii="等线(中文正文)" w:hAnsi="等线(中文正文)" w:cs="等线(中文正文)" w:eastAsia="等线(中文正文)"/>
          <w:b w:val="false"/>
          <w:i w:val="false"/>
          <w:sz w:val="20"/>
        </w:rPr>
        <w:t>发言人1 答：新阳致力于构建多元化供应链体系，通过与上游企业的深度合作，在实现双赢的同时助力轻医美行业健康发展。例如，在四月与锦博生物达成战略合作，获得了新品微医美copec的独家专供权，并推出奇迹胶原系列，提供头面部重组胶原蛋白全场景抗衰解决方案，丰富了绿标产品体系，提升了供应链效率并满足用户需求。</w:t>
      </w:r>
    </w:p>
    <w:p>
      <w:r>
        <w:rPr>
          <w:rFonts w:ascii="等线(中文正文)" w:hAnsi="等线(中文正文)" w:cs="等线(中文正文)" w:eastAsia="等线(中文正文)"/>
          <w:b w:val="false"/>
          <w:i w:val="false"/>
          <w:sz w:val="20"/>
        </w:rPr>
        <w:t/>
      </w:r>
    </w:p>
    <w:p>
      <w:pPr>
        <w:pStyle w:val="ab"/>
      </w:pPr>
      <w:r>
        <w:t>发言人1 问：大单品策略在一季度的表现如何？</w:t>
      </w:r>
    </w:p>
    <w:p>
      <w:r>
        <w:rPr>
          <w:rFonts w:ascii="等线(中文正文)" w:hAnsi="等线(中文正文)" w:cs="等线(中文正文)" w:eastAsia="等线(中文正文)"/>
          <w:b w:val="false"/>
          <w:i w:val="false"/>
          <w:sz w:val="20"/>
        </w:rPr>
        <w:t>发言人1 答：得益于供应链端的战略协同与自有产品的加速落地，大单品策略持续释放增长动能。一季度，大单品收入贡献占比进一步提升至41%，其中爆款产品BBL热玛吉等热销，推动大单品收入增长。</w:t>
      </w:r>
    </w:p>
    <w:p>
      <w:r>
        <w:rPr>
          <w:rFonts w:ascii="等线(中文正文)" w:hAnsi="等线(中文正文)" w:cs="等线(中文正文)" w:eastAsia="等线(中文正文)"/>
          <w:b w:val="false"/>
          <w:i w:val="false"/>
          <w:sz w:val="20"/>
        </w:rPr>
        <w:t/>
      </w:r>
    </w:p>
    <w:p>
      <w:pPr>
        <w:pStyle w:val="ab"/>
      </w:pPr>
      <w:r>
        <w:t>发言人1 问：新阳在医美行业高质量、普惠化发展中的竞争优势是什么？</w:t>
      </w:r>
    </w:p>
    <w:p>
      <w:r>
        <w:rPr>
          <w:rFonts w:ascii="等线(中文正文)" w:hAnsi="等线(中文正文)" w:cs="等线(中文正文)" w:eastAsia="等线(中文正文)"/>
          <w:b w:val="false"/>
          <w:i w:val="false"/>
          <w:sz w:val="20"/>
        </w:rPr>
        <w:t>发言人1 答：随着医美行业的高质量、普惠化发展，新阳凭借标准化医疗交付能力、规模化运营效率和强大的供应链优势，在行业中占据有利位置，头部效应日益明显。新阳已建立起独特的竞争优势，并将继续推进千店连锁战略，在保持合理扩张节奏的同时，优化运营与财务指标，创造长期价值，推动行业的可持续发展。</w:t>
      </w:r>
    </w:p>
    <w:p>
      <w:r>
        <w:rPr>
          <w:rFonts w:ascii="等线(中文正文)" w:hAnsi="等线(中文正文)" w:cs="等线(中文正文)" w:eastAsia="等线(中文正文)"/>
          <w:b w:val="false"/>
          <w:i w:val="false"/>
          <w:sz w:val="20"/>
        </w:rPr>
        <w:t/>
      </w:r>
    </w:p>
    <w:p>
      <w:pPr>
        <w:pStyle w:val="ab"/>
      </w:pPr>
      <w:r>
        <w:t>发言人1 问：What was the year-over-year growth in total revenue for the quarter?</w:t>
      </w:r>
    </w:p>
    <w:p>
      <w:r>
        <w:rPr>
          <w:rFonts w:ascii="等线(中文正文)" w:hAnsi="等线(中文正文)" w:cs="等线(中文正文)" w:eastAsia="等线(中文正文)"/>
          <w:b w:val="false"/>
          <w:i w:val="false"/>
          <w:sz w:val="20"/>
        </w:rPr>
        <w:t>发言人1 答：The total revenue for the quarter grew forty five point six percent year over year to four hundred and thirty two point eight million.</w:t>
      </w:r>
    </w:p>
    <w:p>
      <w:r>
        <w:rPr>
          <w:rFonts w:ascii="等线(中文正文)" w:hAnsi="等线(中文正文)" w:cs="等线(中文正文)" w:eastAsia="等线(中文正文)"/>
          <w:b w:val="false"/>
          <w:i w:val="false"/>
          <w:sz w:val="20"/>
        </w:rPr>
        <w:t/>
      </w:r>
    </w:p>
    <w:p>
      <w:pPr>
        <w:pStyle w:val="ab"/>
      </w:pPr>
      <w:r>
        <w:t>发言人1 问：What percentage of total revenue did the esthetic treatment service contribute during the quarter?</w:t>
      </w:r>
    </w:p>
    <w:p>
      <w:r>
        <w:rPr>
          <w:rFonts w:ascii="等线(中文正文)" w:hAnsi="等线(中文正文)" w:cs="等线(中文正文)" w:eastAsia="等线(中文正文)"/>
          <w:b w:val="false"/>
          <w:i w:val="false"/>
          <w:sz w:val="20"/>
        </w:rPr>
        <w:t>发言人1 答：The esthetic treatment service revenue increased to two hundred and eighty two point four million, accounting for over sixty five percent of total revenue during the quarter.</w:t>
      </w:r>
    </w:p>
    <w:p>
      <w:r>
        <w:rPr>
          <w:rFonts w:ascii="等线(中文正文)" w:hAnsi="等线(中文正文)" w:cs="等线(中文正文)" w:eastAsia="等线(中文正文)"/>
          <w:b w:val="false"/>
          <w:i w:val="false"/>
          <w:sz w:val="20"/>
        </w:rPr>
        <w:t/>
      </w:r>
    </w:p>
    <w:p>
      <w:pPr>
        <w:pStyle w:val="ab"/>
      </w:pPr>
      <w:r>
        <w:t>发言人1 问：How many new aesthetic centers were added during the quarter?</w:t>
      </w:r>
    </w:p>
    <w:p>
      <w:r>
        <w:rPr>
          <w:rFonts w:ascii="等线(中文正文)" w:hAnsi="等线(中文正文)" w:cs="等线(中文正文)" w:eastAsia="等线(中文正文)"/>
          <w:b w:val="false"/>
          <w:i w:val="false"/>
          <w:sz w:val="20"/>
        </w:rPr>
        <w:t>发言人1 答：During the quarter, an additional five aesthetic centers were added, increasing the total to fifty four across fifteen major cities.</w:t>
      </w:r>
    </w:p>
    <w:p>
      <w:r>
        <w:rPr>
          <w:rFonts w:ascii="等线(中文正文)" w:hAnsi="等线(中文正文)" w:cs="等线(中文正文)" w:eastAsia="等线(中文正文)"/>
          <w:b w:val="false"/>
          <w:i w:val="false"/>
          <w:sz w:val="20"/>
        </w:rPr>
        <w:t/>
      </w:r>
    </w:p>
    <w:p>
      <w:pPr>
        <w:pStyle w:val="ab"/>
      </w:pPr>
      <w:r>
        <w:t>发言人1 问：What was the average revenue per center for the new aesthetic centers added during the quarter?</w:t>
      </w:r>
    </w:p>
    <w:p>
      <w:r>
        <w:rPr>
          <w:rFonts w:ascii="等线(中文正文)" w:hAnsi="等线(中文正文)" w:cs="等线(中文正文)" w:eastAsia="等线(中文正文)"/>
          <w:b w:val="false"/>
          <w:i w:val="false"/>
          <w:sz w:val="20"/>
        </w:rPr>
        <w:t>发言人1 答：The average revenue per twenty three new surface centers generated was one hundred and fifty million, with a growth of roughly seven point five million. The fifth center contributed one hundred and nine point five million, or roughly four point eight million ramp up. The average revenue per center for the ramp up was significant, validating the effective scaling of operations.</w:t>
      </w:r>
    </w:p>
    <w:p>
      <w:r>
        <w:rPr>
          <w:rFonts w:ascii="等线(中文正文)" w:hAnsi="等线(中文正文)" w:cs="等线(中文正文)" w:eastAsia="等线(中文正文)"/>
          <w:b w:val="false"/>
          <w:i w:val="false"/>
          <w:sz w:val="20"/>
        </w:rPr>
        <w:t/>
      </w:r>
    </w:p>
    <w:p>
      <w:pPr>
        <w:pStyle w:val="ab"/>
      </w:pPr>
      <w:r>
        <w:t>发言人1 问：How many centers were profitable and how many generated positive operational cash flow during the quarter?</w:t>
      </w:r>
    </w:p>
    <w:p>
      <w:r>
        <w:rPr>
          <w:rFonts w:ascii="等线(中文正文)" w:hAnsi="等线(中文正文)" w:cs="等线(中文正文)" w:eastAsia="等线(中文正文)"/>
          <w:b w:val="false"/>
          <w:i w:val="false"/>
          <w:sz w:val="20"/>
        </w:rPr>
        <w:t>发言人1 答：Forty one centers were profitable and forty eight generated positive operational cash flow during the quarter, with a net addition of sixteen and nine respectively from last quarter.</w:t>
      </w:r>
    </w:p>
    <w:p>
      <w:r>
        <w:rPr>
          <w:rFonts w:ascii="等线(中文正文)" w:hAnsi="等线(中文正文)" w:cs="等线(中文正文)" w:eastAsia="等线(中文正文)"/>
          <w:b w:val="false"/>
          <w:i w:val="false"/>
          <w:sz w:val="20"/>
        </w:rPr>
        <w:t/>
      </w:r>
    </w:p>
    <w:p>
      <w:pPr>
        <w:pStyle w:val="ab"/>
      </w:pPr>
      <w:r>
        <w:t>发言人1 问：What was the year-over-year change in revenue for information and reservation services?</w:t>
      </w:r>
    </w:p>
    <w:p>
      <w:r>
        <w:rPr>
          <w:rFonts w:ascii="等线(中文正文)" w:hAnsi="等线(中文正文)" w:cs="等线(中文正文)" w:eastAsia="等线(中文正文)"/>
          <w:b w:val="false"/>
          <w:i w:val="false"/>
          <w:sz w:val="20"/>
        </w:rPr>
        <w:t>发言人1 答：Revenue for information and reservation services was eight point three million, down thirty percent year over year, primarily due to an increase in the number of medical service providers subscribing to their information services.</w:t>
      </w:r>
    </w:p>
    <w:p>
      <w:r>
        <w:rPr>
          <w:rFonts w:ascii="等线(中文正文)" w:hAnsi="等线(中文正文)" w:cs="等线(中文正文)" w:eastAsia="等线(中文正文)"/>
          <w:b w:val="false"/>
          <w:i w:val="false"/>
          <w:sz w:val="20"/>
        </w:rPr>
        <w:t/>
      </w:r>
    </w:p>
    <w:p>
      <w:pPr>
        <w:pStyle w:val="ab"/>
      </w:pPr>
      <w:r>
        <w:t>发言人1 问：What was the year-over-year change in cost of treatment services and how does it compare to total revenue growth?</w:t>
      </w:r>
    </w:p>
    <w:p>
      <w:r>
        <w:rPr>
          <w:rFonts w:ascii="等线(中文正文)" w:hAnsi="等线(中文正文)" w:cs="等线(中文正文)" w:eastAsia="等线(中文正文)"/>
          <w:b w:val="false"/>
          <w:i w:val="false"/>
          <w:sz w:val="20"/>
        </w:rPr>
        <w:t>发言人1 答：The cost of treatment services was two hundred and five point eight million, up one hundred and fifty six point four percent year over year. This is compared to total revenue growth of forty five point six percent year over year.</w:t>
      </w:r>
    </w:p>
    <w:p>
      <w:r>
        <w:rPr>
          <w:rFonts w:ascii="等线(中文正文)" w:hAnsi="等线(中文正文)" w:cs="等线(中文正文)" w:eastAsia="等线(中文正文)"/>
          <w:b w:val="false"/>
          <w:i w:val="false"/>
          <w:sz w:val="20"/>
        </w:rPr>
        <w:t/>
      </w:r>
    </w:p>
    <w:p>
      <w:pPr>
        <w:pStyle w:val="ab"/>
      </w:pPr>
      <w:r>
        <w:t>发言人1 问：What was the year-over-year change in sales and marketing expenses and what drove the increase?</w:t>
      </w:r>
    </w:p>
    <w:p>
      <w:r>
        <w:rPr>
          <w:rFonts w:ascii="等线(中文正文)" w:hAnsi="等线(中文正文)" w:cs="等线(中文正文)" w:eastAsia="等线(中文正文)"/>
          <w:b w:val="false"/>
          <w:i w:val="false"/>
          <w:sz w:val="20"/>
        </w:rPr>
        <w:t>发言人1 答：Sales and marketing expenses were one hundred and thirty point eight million, up thirty three point seven percent year over year, mainly driven by higher branding and user acquisition spending, as well as higher payout costs to support the branded sixty centers.</w:t>
      </w:r>
    </w:p>
    <w:p>
      <w:r>
        <w:rPr>
          <w:rFonts w:ascii="等线(中文正文)" w:hAnsi="等线(中文正文)" w:cs="等线(中文正文)" w:eastAsia="等线(中文正文)"/>
          <w:b w:val="false"/>
          <w:i w:val="false"/>
          <w:sz w:val="20"/>
        </w:rPr>
        <w:t/>
      </w:r>
    </w:p>
    <w:p>
      <w:pPr>
        <w:pStyle w:val="ab"/>
      </w:pPr>
      <w:r>
        <w:t>发言人1 问：How much were the research and development expenses and what caused the change?</w:t>
      </w:r>
    </w:p>
    <w:p>
      <w:r>
        <w:rPr>
          <w:rFonts w:ascii="等线(中文正文)" w:hAnsi="等线(中文正文)" w:cs="等线(中文正文)" w:eastAsia="等线(中文正文)"/>
          <w:b w:val="false"/>
          <w:i w:val="false"/>
          <w:sz w:val="20"/>
        </w:rPr>
        <w:t>发言人1 答：RND expenses were twenty four point three million, down twenty four point two percent year over year, driven by improved staff efficiency.</w:t>
      </w:r>
    </w:p>
    <w:p>
      <w:r>
        <w:rPr>
          <w:rFonts w:ascii="等线(中文正文)" w:hAnsi="等线(中文正文)" w:cs="等线(中文正文)" w:eastAsia="等线(中文正文)"/>
          <w:b w:val="false"/>
          <w:i w:val="false"/>
          <w:sz w:val="20"/>
        </w:rPr>
        <w:t/>
      </w:r>
    </w:p>
    <w:p>
      <w:pPr>
        <w:pStyle w:val="ab"/>
      </w:pPr>
      <w:r>
        <w:t>发言人1 问：What were the basic and diluted loss per ADS and how does this compare to the previous year?</w:t>
      </w:r>
    </w:p>
    <w:p>
      <w:r>
        <w:rPr>
          <w:rFonts w:ascii="等线(中文正文)" w:hAnsi="等线(中文正文)" w:cs="等线(中文正文)" w:eastAsia="等线(中文正文)"/>
          <w:b w:val="false"/>
          <w:i w:val="false"/>
          <w:sz w:val="20"/>
        </w:rPr>
        <w:t>发言人1 答：Basic and diluted loss per ADS was zero point zero for each, compared with zero point zero two in the primary year as of March thirty first, 2026.</w:t>
      </w:r>
    </w:p>
    <w:p>
      <w:r>
        <w:rPr>
          <w:rFonts w:ascii="等线(中文正文)" w:hAnsi="等线(中文正文)" w:cs="等线(中文正文)" w:eastAsia="等线(中文正文)"/>
          <w:b w:val="false"/>
          <w:i w:val="false"/>
          <w:sz w:val="20"/>
        </w:rPr>
        <w:t/>
      </w:r>
    </w:p>
    <w:p>
      <w:pPr>
        <w:pStyle w:val="ab"/>
      </w:pPr>
      <w:r>
        <w:t>发言人1 问：What is the company's outlook for treatment service revenues in the coming years?</w:t>
      </w:r>
    </w:p>
    <w:p>
      <w:r>
        <w:rPr>
          <w:rFonts w:ascii="等线(中文正文)" w:hAnsi="等线(中文正文)" w:cs="等线(中文正文)" w:eastAsia="等线(中文正文)"/>
          <w:b w:val="false"/>
          <w:i w:val="false"/>
          <w:sz w:val="20"/>
        </w:rPr>
        <w:t>发言人1 答：The company expects treatment service revenues to be between three hundred and seven million and three hundred and seventeen million, representing year over year growth of one hundred and twelve point six percent to one hundred and十九 point five percent.</w:t>
      </w:r>
    </w:p>
    <w:p>
      <w:r>
        <w:rPr>
          <w:rFonts w:ascii="等线(中文正文)" w:hAnsi="等线(中文正文)" w:cs="等线(中文正文)" w:eastAsia="等线(中文正文)"/>
          <w:b w:val="false"/>
          <w:i w:val="false"/>
          <w:sz w:val="20"/>
        </w:rPr>
        <w:t/>
      </w:r>
    </w:p>
    <w:p>
      <w:pPr>
        <w:pStyle w:val="ab"/>
      </w:pPr>
      <w:r>
        <w:t>发言人1 问： 在传统的诊疗体系重构上，有哪些创新？包括在医生和咨询师的角色定位上具体有哪些变化？</w:t>
      </w:r>
    </w:p>
    <w:p>
      <w:r>
        <w:rPr>
          <w:rFonts w:ascii="等线(中文正文)" w:hAnsi="等线(中文正文)" w:cs="等线(中文正文)" w:eastAsia="等线(中文正文)"/>
          <w:b w:val="false"/>
          <w:i w:val="false"/>
          <w:sz w:val="20"/>
        </w:rPr>
        <w:t>发言人1 答： 我们在传统诊疗体系重构上，主要通过诊疗体系升级与医生首诊制两条路径推进创新。在体系层面，我们联合行业专家对用户皮肤类型进行归因归类，创建标准化模板并共创新的诊疗指南，以推动诊疗流程的统一与规范。同时，计划通过对皮肤检测仪进行二次开发，结合大数据与AI算法实现诊疗方案的自动推进，提升诊断过程的标准化与自动化水平，从而提高门店运营效率。此外，我们正在推进医生首诊制，将医生介入到客户初次到诊时提供专业面诊服务，咨询师的角色则转向辅助与服务，重点支持医生完成诊疗流程。这一调整强化了医疗专业属性，增强了用户信任感并提高了转化率。目前，医生首诊制已在部分门店试点运行，并计划未来实现新客户百分百由医生面诊，老客户中逐渐覆盖医生面诊比例。</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2026-05-23T02:18:30Z</dcterms:created>
  <dc:creator>Apache POI</dc:creator>
</cp:coreProperties>
</file>