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申万宏源策略_第二阶段上涨行情不怕等--大势申音·每周论势5分钟 260517_导读</w:t>
      </w:r>
    </w:p>
    <w:p>
      <w:pPr>
        <w:pStyle w:val="a0"/>
        <w:jc w:val="center"/>
      </w:pPr>
      <w:r>
        <w:t>2026年05月17日 22:37</w:t>
      </w:r>
    </w:p>
    <w:p>
      <w:pPr>
        <w:pStyle w:val="a7"/>
      </w:pPr>
      <w:r>
        <w:t>关键词</w:t>
      </w:r>
    </w:p>
    <w:p>
      <w:r>
        <w:rPr>
          <w:rFonts w:ascii="等线(中文正文)" w:hAnsi="等线(中文正文)" w:cs="等线(中文正文)" w:eastAsia="等线(中文正文)"/>
          <w:b w:val="false"/>
          <w:i w:val="false"/>
          <w:sz w:val="20"/>
        </w:rPr>
        <w:t xml:space="preserve">A股市场 宽基ETF 融资余额 主动公募 石油价格 通胀 美联储 科技成长 霍姆兹海峡 能源安全 制造业 AI产业 新能源 新能车 油气 基础化工 光通信 储能 存储 燃机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当前股市正经历小波段调整，政策意图抑制A股过热，通过宽基ETF净流出和融资余额控制实现市场平衡。增量资金偏好行业ETF细分领域，反映市场对主动管理产品改善尚不明显。油价上涨、美联储加息预期及霍尔姆兹海峡通航限制，共同施压科技成长风格，加剧供需紧张。中期看，新能源、新能车、油气及基础化工等受青睐，AI产业链和战略资源在后续上涨行情中将扮演关键角色。</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A股市场调整与石油价格影响分析</w:t>
      </w:r>
    </w:p>
    <w:p>
      <w:r>
        <w:rPr>
          <w:rFonts w:ascii="等线(中文正文)" w:hAnsi="等线(中文正文)" w:cs="等线(中文正文)" w:eastAsia="等线(中文正文)"/>
          <w:b w:val="false"/>
          <w:i w:val="false"/>
          <w:sz w:val="20"/>
        </w:rPr>
        <w:t>对话分析了A股市场小波段调整的四方面阻力，包括政策抑制市场过热、资金供需特征导致短期波动、石油价格上升及美联储加息预期影响风险偏好，以及霍尔木兹海峡通航受限可能引发的供需冲击。指出油价上涨为成本冲击，而产业链产品短缺为供需共同冲击，可能引发需求预期下行，但中国能源安全或成对冲资产。中期A股赚钱效应累积周期延续，需关注后续产业趋势新催化。</w:t>
      </w:r>
    </w:p>
    <w:p>
      <w:r>
        <w:rPr>
          <w:rFonts w:ascii="等线(中文正文)" w:hAnsi="等线(中文正文)" w:cs="等线(中文正文)" w:eastAsia="等线(中文正文)"/>
          <w:b w:val="false"/>
          <w:i w:val="false"/>
          <w:sz w:val="20"/>
        </w:rPr>
        <w:t/>
      </w:r>
    </w:p>
    <w:p>
      <w:pPr>
        <w:pStyle w:val="ab"/>
        <w:numPr>
          <w:numId w:val="2"/>
        </w:numPr>
      </w:pPr>
      <w:r>
        <w:t>01:40 第二阶段上涨行情与增量资金正循环分析</w:t>
      </w:r>
    </w:p>
    <w:p>
      <w:r>
        <w:rPr>
          <w:rFonts w:ascii="等线(中文正文)" w:hAnsi="等线(中文正文)" w:cs="等线(中文正文)" w:eastAsia="等线(中文正文)"/>
          <w:b w:val="false"/>
          <w:i w:val="false"/>
          <w:sz w:val="20"/>
        </w:rPr>
        <w:t>对话讨论了第二阶段上涨行情的重要性，强调增量资金正循环开启市场空间。指出本轮行情可能无法完全反映中周期积极因素，但这些因素可能在下一轮上涨中发挥支撑作用。基本面周期改善、制造业影响力提升、AI产业链深化等是关键积极因素。建议重视新老能源对冲作用，短期关注新能源、新能车等，中期看好AI产业链和战略资源。光通信、储能等是中期高举高打资产，有色金属需震荡修正。石油产业链与有色金属存在跷跷板效应。</w:t>
      </w:r>
    </w:p>
    <w:p>
      <w:r>
        <w:rPr>
          <w:rFonts w:ascii="等线(中文正文)" w:hAnsi="等线(中文正文)" w:cs="等线(中文正文)" w:eastAsia="等线(中文正文)"/>
          <w:b w:val="false"/>
          <w:i w:val="false"/>
          <w:sz w:val="20"/>
        </w:rPr>
        <w:t/>
      </w:r>
    </w:p>
    <w:p>
      <w:pPr>
        <w:pStyle w:val="a7"/>
      </w:pPr>
      <w:r>
        <w:t>发言总结</w:t>
      </w:r>
    </w:p>
    <w:p>
      <w:pPr>
        <w:pStyle w:val="ab"/>
        <w:numPr>
          <w:numId w:val="3"/>
        </w:numPr>
      </w:pPr>
      <w:r>
        <w:t>发言人1</w:t>
      </w:r>
    </w:p>
    <w:p>
      <w:r>
        <w:rPr>
          <w:rFonts w:ascii="等线(中文正文)" w:hAnsi="等线(中文正文)" w:cs="等线(中文正文)" w:eastAsia="等线(中文正文)"/>
          <w:b w:val="false"/>
          <w:i w:val="false"/>
          <w:sz w:val="20"/>
        </w:rPr>
        <w:t>讨论了股市正循环的四大阻力：政策对A股过热的抑制、宽基ETF的小幅净流出、石油价格上涨对成本与供需的冲击，以及美联储加息预期对市场的潜在影响。他指出，短期内资金流入被动产品可能加剧市场波动，但中期来看A股上涨周期持续，新产业趋势将驱动新一轮上涨。发言人强调了基本面周期改善、制造业议价能力增强、AI产业链发展趋势等积极因素，以及新老能源对冲在投资中的重要性。最后，他建议关注新能源、新能车、油气和基础化工等领域的短期投资机会，以及AI产业链和战略资源的长期配置。</w:t>
      </w:r>
    </w:p>
    <w:p>
      <w:r>
        <w:rPr>
          <w:rFonts w:ascii="等线(中文正文)" w:hAnsi="等线(中文正文)" w:cs="等线(中文正文)" w:eastAsia="等线(中文正文)"/>
          <w:b w:val="false"/>
          <w:i w:val="false"/>
          <w:sz w:val="20"/>
        </w:rPr>
        <w:t/>
      </w:r>
    </w:p>
    <w:p>
      <w:pPr>
        <w:pStyle w:val="a7"/>
      </w:pPr>
      <w:r>
        <w:t>要点回顾</w:t>
      </w:r>
    </w:p>
    <w:p>
      <w:pPr>
        <w:pStyle w:val="ab"/>
      </w:pPr>
      <w:r>
        <w:t>A股市场近期是否面临调整压力？</w:t>
      </w:r>
    </w:p>
    <w:p>
      <w:r>
        <w:rPr>
          <w:rFonts w:ascii="等线(中文正文)" w:hAnsi="等线(中文正文)" w:cs="等线(中文正文)" w:eastAsia="等线(中文正文)"/>
          <w:b w:val="false"/>
          <w:i w:val="false"/>
          <w:sz w:val="20"/>
        </w:rPr>
        <w:t>发言人1：是的，A股市场已经开始小波段调整。一方面，政策层面对抑制A股过热有所体现，通过宽基ETF净流出和控制融资余额来对冲短期A股上涨动量。另一方面，短期增量资金行为表现为行业ETF流入不明显，景气赛道ETF出现低买高卖现象，而主动管理型产品中聚焦单一赛道的高弹性产品则吸引了资金净流入。这种现象反映出行业ETF对细分赛道的配置不足，且资金流入主要偏向于类被动产品，追逐结构力和动量而非主动管理偏好的系统性改善。因此，在上涨和调整阶段都可能出现资金集中流动，加大短期市场波动。</w:t>
      </w:r>
    </w:p>
    <w:p>
      <w:r>
        <w:rPr>
          <w:rFonts w:ascii="等线(中文正文)" w:hAnsi="等线(中文正文)" w:cs="等线(中文正文)" w:eastAsia="等线(中文正文)"/>
          <w:b w:val="false"/>
          <w:i w:val="false"/>
          <w:sz w:val="20"/>
        </w:rPr>
        <w:t/>
      </w:r>
    </w:p>
    <w:p>
      <w:pPr>
        <w:pStyle w:val="ab"/>
      </w:pPr>
      <w:r>
        <w:t>石油价格上升和美联储加息预期升温对市场有何影响？</w:t>
      </w:r>
    </w:p>
    <w:p>
      <w:r>
        <w:rPr>
          <w:rFonts w:ascii="等线(中文正文)" w:hAnsi="等线(中文正文)" w:cs="等线(中文正文)" w:eastAsia="等线(中文正文)"/>
          <w:b w:val="false"/>
          <w:i w:val="false"/>
          <w:sz w:val="20"/>
        </w:rPr>
        <w:t>发言人1：石油价格中枢抬升推高通胀并抑制风险偏好，叠加美联储加息预期重新升温导致美债收益上行，这些因素共同作用下，科技成长风格承受压力。此外，霍姆兹海峡通航能力受限可能导致海外石油产业链产品短缺，引发需求预期下行并冲击海外资本市场。不过，中国在保障能源安全方面能通过供给保障来对冲部分资产风险。尽管美联储最终可能会转向降息预期，但在转换过程中可能会带来资本市场较大波动。</w:t>
      </w:r>
    </w:p>
    <w:p>
      <w:r>
        <w:rPr>
          <w:rFonts w:ascii="等线(中文正文)" w:hAnsi="等线(中文正文)" w:cs="等线(中文正文)" w:eastAsia="等线(中文正文)"/>
          <w:b w:val="false"/>
          <w:i w:val="false"/>
          <w:sz w:val="20"/>
        </w:rPr>
        <w:t/>
      </w:r>
    </w:p>
    <w:p>
      <w:pPr>
        <w:pStyle w:val="ab"/>
      </w:pPr>
      <w:r>
        <w:t>当前阶段对于牛市发展有何看法？</w:t>
      </w:r>
    </w:p>
    <w:p>
      <w:r>
        <w:rPr>
          <w:rFonts w:ascii="等线(中文正文)" w:hAnsi="等线(中文正文)" w:cs="等线(中文正文)" w:eastAsia="等线(中文正文)"/>
          <w:b w:val="false"/>
          <w:i w:val="false"/>
          <w:sz w:val="20"/>
        </w:rPr>
        <w:t>发言人1：当前处于牛市第二阶段的初期，增量资金开始开启正循环并向上打开空间。本轮上涨已经触及赚钱效应累积巨变的位置，未来可能催化更多积极因素，如房地产大宗消费、服务消费边际改善，中国制造业议价能力提升带来中游制造盈利能力普遍改善，以及海外AI产业链深化和国内AI大模型应用突破。这些都将支撑第二阶段上涨行情，带来更全面的乐观预期和丰富的上涨结构。</w:t>
      </w:r>
    </w:p>
    <w:p>
      <w:r>
        <w:rPr>
          <w:rFonts w:ascii="等线(中文正文)" w:hAnsi="等线(中文正文)" w:cs="等线(中文正文)" w:eastAsia="等线(中文正文)"/>
          <w:b w:val="false"/>
          <w:i w:val="false"/>
          <w:sz w:val="20"/>
        </w:rPr>
        <w:t/>
      </w:r>
    </w:p>
    <w:p>
      <w:pPr>
        <w:pStyle w:val="ab"/>
      </w:pPr>
      <w:r>
        <w:t>在投资结构上有哪些建议？</w:t>
      </w:r>
    </w:p>
    <w:p>
      <w:r>
        <w:rPr>
          <w:rFonts w:ascii="等线(中文正文)" w:hAnsi="等线(中文正文)" w:cs="等线(中文正文)" w:eastAsia="等线(中文正文)"/>
          <w:b w:val="false"/>
          <w:i w:val="false"/>
          <w:sz w:val="20"/>
        </w:rPr>
        <w:t>发言人1：建议重视新老能源的对冲作用。短期内，霍尔木兹海峡封锁导致石油价格上涨可能延续调整波段的影响。因此，新老能源结合的投资策略可能具有对冲属性，比如新能源、新能车、油气及基础化工等领域存在短期投资机会。同时，继续关注本轮上涨行情主线资产，包括AI产业链和战略资源配置，如光通信、储能、存储、燃机等。此外，有色板块也可能重新走强，但需要一段时间的震荡修正。总之，在选择投资结构时应考虑石油产业链和有色金属之间的跷跷板效应。</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2026-05-17T14:52:47Z</dcterms:created>
  <dc:creator>Apache POI</dc:creator>
</cp:coreProperties>
</file>