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中公教育 260511_导读</w:t>
      </w:r>
    </w:p>
    <w:p>
      <w:pPr>
        <w:pStyle w:val="a0"/>
        <w:jc w:val="center"/>
      </w:pPr>
      <w:r>
        <w:t>2026年05月17日 11:53</w:t>
      </w:r>
    </w:p>
    <w:p>
      <w:pPr>
        <w:pStyle w:val="a7"/>
      </w:pPr>
      <w:r>
        <w:t>关键词</w:t>
      </w:r>
    </w:p>
    <w:p>
      <w:r>
        <w:rPr>
          <w:rFonts w:ascii="等线(中文正文)" w:hAnsi="等线(中文正文)" w:cs="等线(中文正文)" w:eastAsia="等线(中文正文)"/>
          <w:b w:val="false"/>
          <w:i w:val="false"/>
          <w:sz w:val="20"/>
        </w:rPr>
        <w:t xml:space="preserve">年报 一季报 营收 净利润 业绩目标 管理体制 年轻化改革 研发费用 教学创新 AI化 市场需求 培训需求 招录人数 就业培训 渗透率 溢价空间 市场调研 协议班 实收率 盈利恢复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广发商社中公教育组织年度业绩交流会，重点讨论2025年年报及2026年一季报业绩，强调研发、教学创新和网点优化布局，尤其重视AI技术在教育产品中的应用。面对市场竞争和政策风险，公司通过内部管理和产品调整实现业绩拐点，对盈利恢复持乐观态度。会议还触及中小机构影响及在多元化市场中保持竞争优势的策略。龚总和徐总回应投资者提问，涵盖产品服务改进、市场策略调整及AI技术未来应用，展现了公司对未来的规划和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广发证券业绩交流会议声明</w:t>
      </w:r>
    </w:p>
    <w:p>
      <w:r>
        <w:rPr>
          <w:rFonts w:ascii="等线(中文正文)" w:hAnsi="等线(中文正文)" w:cs="等线(中文正文)" w:eastAsia="等线(中文正文)"/>
          <w:b w:val="false"/>
          <w:i w:val="false"/>
          <w:sz w:val="20"/>
        </w:rPr>
        <w:t>会议开始前播放免责声明，内容指出电话会议仅供广发证券客户参考，不构成投资建议，任何损失由使用者自行承担。禁止未经授权复制、传播会议内容，违规者将面临白名单权限暂停等后果。</w:t>
      </w:r>
    </w:p>
    <w:p>
      <w:r>
        <w:rPr>
          <w:rFonts w:ascii="等线(中文正文)" w:hAnsi="等线(中文正文)" w:cs="等线(中文正文)" w:eastAsia="等线(中文正文)"/>
          <w:b w:val="false"/>
          <w:i w:val="false"/>
          <w:sz w:val="20"/>
        </w:rPr>
        <w:t/>
      </w:r>
    </w:p>
    <w:p>
      <w:pPr>
        <w:pStyle w:val="ab"/>
        <w:numPr>
          <w:numId w:val="2"/>
        </w:numPr>
      </w:pPr>
      <w:r>
        <w:t>01:58 中公教育2025年报与2026年Q1业绩汇报及战略调整</w:t>
      </w:r>
    </w:p>
    <w:p>
      <w:r>
        <w:rPr>
          <w:rFonts w:ascii="等线(中文正文)" w:hAnsi="等线(中文正文)" w:cs="等线(中文正文)" w:eastAsia="等线(中文正文)"/>
          <w:b w:val="false"/>
          <w:i w:val="false"/>
          <w:sz w:val="20"/>
        </w:rPr>
        <w:t>中公教育2025年实现连续两年盈利，营收22.4亿元，净利润8890万元。2026年Q1营收同比增长4.31%，四月收款同比增长12%。公司通过内部管理改革、业绩导向的综合考评体系、强化产品与教学创新、优化网点布局等措施，推动业绩增长。战略上，公司恢复传统业务并推进全面AI化，面对持续高位的高校毕业生规模，预计未来十年维持千万级市场。</w:t>
      </w:r>
    </w:p>
    <w:p>
      <w:r>
        <w:rPr>
          <w:rFonts w:ascii="等线(中文正文)" w:hAnsi="等线(中文正文)" w:cs="等线(中文正文)" w:eastAsia="等线(中文正文)"/>
          <w:b w:val="false"/>
          <w:i w:val="false"/>
          <w:sz w:val="20"/>
        </w:rPr>
        <w:t/>
      </w:r>
    </w:p>
    <w:p>
      <w:pPr>
        <w:pStyle w:val="ab"/>
        <w:numPr>
          <w:numId w:val="3"/>
        </w:numPr>
      </w:pPr>
      <w:r>
        <w:t>07:28 行业风险与AI转型：传统主业的市场潜力与应对策略</w:t>
      </w:r>
    </w:p>
    <w:p>
      <w:r>
        <w:rPr>
          <w:rFonts w:ascii="等线(中文正文)" w:hAnsi="等线(中文正文)" w:cs="等线(中文正文)" w:eastAsia="等线(中文正文)"/>
          <w:b w:val="false"/>
          <w:i w:val="false"/>
          <w:sz w:val="20"/>
        </w:rPr>
        <w:t>讨论了传统主业市场需求的巨大潜力及其伴随的政策性风险，如K12教育和房地产市场的不确定性。为应对挑战，企业不仅在恢复传统业务，还全面推动AI化转型，推出了一系列AI产品和服务，包括学习机、AI面试系统等，以及成立专门的AI子公司。尽管经济面临困难，但认为中国已经开始触底反弹，行业正逐步回暖。</w:t>
      </w:r>
    </w:p>
    <w:p>
      <w:r>
        <w:rPr>
          <w:rFonts w:ascii="等线(中文正文)" w:hAnsi="等线(中文正文)" w:cs="等线(中文正文)" w:eastAsia="等线(中文正文)"/>
          <w:b w:val="false"/>
          <w:i w:val="false"/>
          <w:sz w:val="20"/>
        </w:rPr>
        <w:t/>
      </w:r>
    </w:p>
    <w:p>
      <w:pPr>
        <w:pStyle w:val="ab"/>
        <w:numPr>
          <w:numId w:val="4"/>
        </w:numPr>
      </w:pPr>
      <w:r>
        <w:t>09:11 行业变化与头部机构集中趋势分析</w:t>
      </w:r>
    </w:p>
    <w:p>
      <w:r>
        <w:rPr>
          <w:rFonts w:ascii="等线(中文正文)" w:hAnsi="等线(中文正文)" w:cs="等线(中文正文)" w:eastAsia="等线(中文正文)"/>
          <w:b w:val="false"/>
          <w:i w:val="false"/>
          <w:sz w:val="20"/>
        </w:rPr>
        <w:t>讨论了行业变化，包括中小机构竞争激烈和长周期课程需求增加。分析了市场集中度向头部机构集中的趋势，以及学员选择头部机构减少机会成本的逻辑。</w:t>
      </w:r>
    </w:p>
    <w:p>
      <w:r>
        <w:rPr>
          <w:rFonts w:ascii="等线(中文正文)" w:hAnsi="等线(中文正文)" w:cs="等线(中文正文)" w:eastAsia="等线(中文正文)"/>
          <w:b w:val="false"/>
          <w:i w:val="false"/>
          <w:sz w:val="20"/>
        </w:rPr>
        <w:t/>
      </w:r>
    </w:p>
    <w:p>
      <w:pPr>
        <w:pStyle w:val="ab"/>
        <w:numPr>
          <w:numId w:val="5"/>
        </w:numPr>
      </w:pPr>
      <w:r>
        <w:t>14:48 竞争态势与行业趋势：中小机构的生存挑战</w:t>
      </w:r>
    </w:p>
    <w:p>
      <w:r>
        <w:rPr>
          <w:rFonts w:ascii="等线(中文正文)" w:hAnsi="等线(中文正文)" w:cs="等线(中文正文)" w:eastAsia="等线(中文正文)"/>
          <w:b w:val="false"/>
          <w:i w:val="false"/>
          <w:sz w:val="20"/>
        </w:rPr>
        <w:t>讨论了中小机构与头部、腰部竞争对手在研发成本和运营周期上的差异，分析了国考和省考招录人数减少对行业的影响，包括竞争加剧、考生备考时间延长、面试参与率提高及就业培训渗透率低等趋势，指出产品调整和定价策略对中小机构的重要性。</w:t>
      </w:r>
    </w:p>
    <w:p>
      <w:r>
        <w:rPr>
          <w:rFonts w:ascii="等线(中文正文)" w:hAnsi="等线(中文正文)" w:cs="等线(中文正文)" w:eastAsia="等线(中文正文)"/>
          <w:b w:val="false"/>
          <w:i w:val="false"/>
          <w:sz w:val="20"/>
        </w:rPr>
        <w:t/>
      </w:r>
    </w:p>
    <w:p>
      <w:pPr>
        <w:pStyle w:val="ab"/>
        <w:numPr>
          <w:numId w:val="6"/>
        </w:numPr>
      </w:pPr>
      <w:r>
        <w:t>19:13 机构扩张策略与盈利网点建设</w:t>
      </w:r>
    </w:p>
    <w:p>
      <w:r>
        <w:rPr>
          <w:rFonts w:ascii="等线(中文正文)" w:hAnsi="等线(中文正文)" w:cs="等线(中文正文)" w:eastAsia="等线(中文正文)"/>
          <w:b w:val="false"/>
          <w:i w:val="false"/>
          <w:sz w:val="20"/>
        </w:rPr>
        <w:t>对话围绕机构扩张策略展开，强调了在确保盈利的前提下审慎新增网点的原则。每个新网点需经过充分市场调研，确保能实现盈利，规模较小，一般配置2到3名销售人员。新增网点与原有关停网点无直接关联，而是基于区域调研决定是否开设，体现了对盈利性和市场适应性的重视。</w:t>
      </w:r>
    </w:p>
    <w:p>
      <w:r>
        <w:rPr>
          <w:rFonts w:ascii="等线(中文正文)" w:hAnsi="等线(中文正文)" w:cs="等线(中文正文)" w:eastAsia="等线(中文正文)"/>
          <w:b w:val="false"/>
          <w:i w:val="false"/>
          <w:sz w:val="20"/>
        </w:rPr>
        <w:t/>
      </w:r>
    </w:p>
    <w:p>
      <w:pPr>
        <w:pStyle w:val="ab"/>
        <w:numPr>
          <w:numId w:val="7"/>
        </w:numPr>
      </w:pPr>
      <w:r>
        <w:t>21:40 协议班产品结构与实收比例分析</w:t>
      </w:r>
    </w:p>
    <w:p>
      <w:r>
        <w:rPr>
          <w:rFonts w:ascii="等线(中文正文)" w:hAnsi="等线(中文正文)" w:cs="等线(中文正文)" w:eastAsia="等线(中文正文)"/>
          <w:b w:val="false"/>
          <w:i w:val="false"/>
          <w:sz w:val="20"/>
        </w:rPr>
        <w:t>讨论了协议班在公司产品中的占比及统计口径，指出协议班风险降低，产品主要依据成本和利润核算，确保实收率，综合班型中实收比例不低于70%。</w:t>
      </w:r>
    </w:p>
    <w:p>
      <w:r>
        <w:rPr>
          <w:rFonts w:ascii="等线(中文正文)" w:hAnsi="等线(中文正文)" w:cs="等线(中文正文)" w:eastAsia="等线(中文正文)"/>
          <w:b w:val="false"/>
          <w:i w:val="false"/>
          <w:sz w:val="20"/>
        </w:rPr>
        <w:t/>
      </w:r>
    </w:p>
    <w:p>
      <w:pPr>
        <w:pStyle w:val="ab"/>
        <w:numPr>
          <w:numId w:val="8"/>
        </w:numPr>
      </w:pPr>
      <w:r>
        <w:t>23:15 盈利恢复与AI布局：企业增长新方向</w:t>
      </w:r>
    </w:p>
    <w:p>
      <w:r>
        <w:rPr>
          <w:rFonts w:ascii="等线(中文正文)" w:hAnsi="等线(中文正文)" w:cs="等线(中文正文)" w:eastAsia="等线(中文正文)"/>
          <w:b w:val="false"/>
          <w:i w:val="false"/>
          <w:sz w:val="20"/>
        </w:rPr>
        <w:t>对话讨论了企业自去年四季度至今年一季度盈利恢复的趋势，基于历史经验和当前业务态势，预计未来三年增长中枢较为稳健。同时，企业正积极布局AI方向，包括将AI功能融入学习机和耳机硬件产品，以及推出AI加就业产品线，如AI数据工程师课程，旨在推动学员习惯养成和提升客单价，展现企业增长新方向。</w:t>
      </w:r>
    </w:p>
    <w:p>
      <w:r>
        <w:rPr>
          <w:rFonts w:ascii="等线(中文正文)" w:hAnsi="等线(中文正文)" w:cs="等线(中文正文)" w:eastAsia="等线(中文正文)"/>
          <w:b w:val="false"/>
          <w:i w:val="false"/>
          <w:sz w:val="20"/>
        </w:rPr>
        <w:t/>
      </w:r>
    </w:p>
    <w:p>
      <w:pPr>
        <w:pStyle w:val="ab"/>
        <w:numPr>
          <w:numId w:val="9"/>
        </w:numPr>
      </w:pPr>
      <w:r>
        <w:t>28:36 AI加课程与正价课程共存策略探讨</w:t>
      </w:r>
    </w:p>
    <w:p>
      <w:r>
        <w:rPr>
          <w:rFonts w:ascii="等线(中文正文)" w:hAnsi="等线(中文正文)" w:cs="等线(中文正文)" w:eastAsia="等线(中文正文)"/>
          <w:b w:val="false"/>
          <w:i w:val="false"/>
          <w:sz w:val="20"/>
        </w:rPr>
        <w:t>讨论了AI加课程与传统正价课程的关系，认为AI加课程不会替代正价课程，而是作为补充提升单客消费。AI加课程针对不同学员群体，提供个性化学习和就业服务，市场验证效果良好。内置功能免费，额外打包服务需收费，整体模式获学员认可。</w:t>
      </w:r>
    </w:p>
    <w:p>
      <w:r>
        <w:rPr>
          <w:rFonts w:ascii="等线(中文正文)" w:hAnsi="等线(中文正文)" w:cs="等线(中文正文)" w:eastAsia="等线(中文正文)"/>
          <w:b w:val="false"/>
          <w:i w:val="false"/>
          <w:sz w:val="20"/>
        </w:rPr>
        <w:t/>
      </w:r>
    </w:p>
    <w:p>
      <w:pPr>
        <w:pStyle w:val="ab"/>
        <w:numPr>
          <w:numId w:val="10"/>
        </w:numPr>
      </w:pPr>
      <w:r>
        <w:t>33:28 公司产品布局与市场趋势分析</w:t>
      </w:r>
    </w:p>
    <w:p>
      <w:r>
        <w:rPr>
          <w:rFonts w:ascii="等线(中文正文)" w:hAnsi="等线(中文正文)" w:cs="等线(中文正文)" w:eastAsia="等线(中文正文)"/>
          <w:b w:val="false"/>
          <w:i w:val="false"/>
          <w:sz w:val="20"/>
        </w:rPr>
        <w:t>对话围绕公司产品布局调整及市场趋势展开，指出公务员、事业单位招录人数减少影响了相关业务占比，但教师资格证、考研等细分市场仍具增长潜力。公司正多元化布局，拓展央国企及体育类就业培训，寻求新的增长点。会上强调了公司Q4及Q1业绩拐点，期待未来经营与财务数据表现更优。最后，会议提醒未经授权不得复制或传播会议内容，确保信息合规使用。</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主持并介绍了广发商社中公教育2025年年报及2026年一季报业绩交流会，首先对参会者的到来表示感谢，并提醒大家会议期间需保持静音。他强调，本次会议内容专为广发证券客户提供，不构成投资建议，广发证券对使用会议内容可能产生的损失不承担责任。他回顾了公司近年来在管理体制优化、业绩考核体系推进、产品研发服务提升、网点布局优化以及AI战略实施等方面的主要措施与成效，展现了公司在应对教育行业挑战方面的积极作为。面对市场竞争加剧、产品和运营模式变化、AI技术的应用等挑战，他深入探讨了教育行业的现状与未来机遇，并针对参会者提出的问题，如行业变化、产品运营模式、市场风险、盈利恢复预期及AI产品布局等，给予了详尽回应。最后，他表达了对公司未来发展的审慎乐观态度，期待业绩能够进一步提升。</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问：2025年中公教育的营收和净利润情况如何？2025年Q4和2026年Q1的营收同比与环比增长情况如何？</w:t>
      </w:r>
    </w:p>
    <w:p>
      <w:r>
        <w:rPr>
          <w:rFonts w:ascii="等线(中文正文)" w:hAnsi="等线(中文正文)" w:cs="等线(中文正文)" w:eastAsia="等线(中文正文)"/>
          <w:b w:val="false"/>
          <w:i w:val="false"/>
          <w:sz w:val="20"/>
        </w:rPr>
        <w:t>发言人1 答：2025年中公教育的营收为22.4亿元，净利润为8890万元，实现了连续两年盈利。2025年Q4营收同比是增长约10%，环比增长约15%。而2026年Q1营收同比增长4.31%，出现拐点，但四月份收款同比增长约12%，业绩逐渐改善。</w:t>
      </w:r>
    </w:p>
    <w:p>
      <w:r>
        <w:rPr>
          <w:rFonts w:ascii="等线(中文正文)" w:hAnsi="等线(中文正文)" w:cs="等线(中文正文)" w:eastAsia="等线(中文正文)"/>
          <w:b w:val="false"/>
          <w:i w:val="false"/>
          <w:sz w:val="20"/>
        </w:rPr>
        <w:t/>
      </w:r>
    </w:p>
    <w:p>
      <w:pPr>
        <w:pStyle w:val="ab"/>
      </w:pPr>
      <w:r>
        <w:t>发言人1 问：公司为2022年制定了怎样的业绩增长目标？</w:t>
      </w:r>
    </w:p>
    <w:p>
      <w:r>
        <w:rPr>
          <w:rFonts w:ascii="等线(中文正文)" w:hAnsi="等线(中文正文)" w:cs="等线(中文正文)" w:eastAsia="等线(中文正文)"/>
          <w:b w:val="false"/>
          <w:i w:val="false"/>
          <w:sz w:val="20"/>
        </w:rPr>
        <w:t>发言人1 答：公司今年给各分校设定的业绩目标是增长15%至20%左右。</w:t>
      </w:r>
    </w:p>
    <w:p>
      <w:r>
        <w:rPr>
          <w:rFonts w:ascii="等线(中文正文)" w:hAnsi="等线(中文正文)" w:cs="等线(中文正文)" w:eastAsia="等线(中文正文)"/>
          <w:b w:val="false"/>
          <w:i w:val="false"/>
          <w:sz w:val="20"/>
        </w:rPr>
        <w:t/>
      </w:r>
    </w:p>
    <w:p>
      <w:pPr>
        <w:pStyle w:val="ab"/>
      </w:pPr>
      <w:r>
        <w:t>发言人1 问：公司内部管理体制有哪些调整和优化措施？</w:t>
      </w:r>
    </w:p>
    <w:p>
      <w:r>
        <w:rPr>
          <w:rFonts w:ascii="等线(中文正文)" w:hAnsi="等线(中文正文)" w:cs="等线(中文正文)" w:eastAsia="等线(中文正文)"/>
          <w:b w:val="false"/>
          <w:i w:val="false"/>
          <w:sz w:val="20"/>
        </w:rPr>
        <w:t>发言人1 答：首先进行了省级分校年轻化改革，90%以上的省级分类负责人已是90后；其次全面推进以业绩为导向的分校运营综合考评体系，根据月度业绩完成情况给予现金奖励或对连续不达标者进行人员调整。</w:t>
      </w:r>
    </w:p>
    <w:p>
      <w:r>
        <w:rPr>
          <w:rFonts w:ascii="等线(中文正文)" w:hAnsi="等线(中文正文)" w:cs="等线(中文正文)" w:eastAsia="等线(中文正文)"/>
          <w:b w:val="false"/>
          <w:i w:val="false"/>
          <w:sz w:val="20"/>
        </w:rPr>
        <w:t/>
      </w:r>
    </w:p>
    <w:p>
      <w:pPr>
        <w:pStyle w:val="ab"/>
      </w:pPr>
      <w:r>
        <w:t>发言人1 问：公司在产品方面做了哪些努力？</w:t>
      </w:r>
    </w:p>
    <w:p>
      <w:r>
        <w:rPr>
          <w:rFonts w:ascii="等线(中文正文)" w:hAnsi="等线(中文正文)" w:cs="等线(中文正文)" w:eastAsia="等线(中文正文)"/>
          <w:b w:val="false"/>
          <w:i w:val="false"/>
          <w:sz w:val="20"/>
        </w:rPr>
        <w:t>发言人1 答：公司加大产品研发投入，2025年第四季度研发费用同比增长约60%，管理层高度重视研发，并强调必须引领行业发展方向；同时加强教学创新，围绕培养学生创新思维进行课程研发。</w:t>
      </w:r>
    </w:p>
    <w:p>
      <w:r>
        <w:rPr>
          <w:rFonts w:ascii="等线(中文正文)" w:hAnsi="等线(中文正文)" w:cs="等线(中文正文)" w:eastAsia="等线(中文正文)"/>
          <w:b w:val="false"/>
          <w:i w:val="false"/>
          <w:sz w:val="20"/>
        </w:rPr>
        <w:t/>
      </w:r>
    </w:p>
    <w:p>
      <w:pPr>
        <w:pStyle w:val="ab"/>
      </w:pPr>
      <w:r>
        <w:t>发言人1 问：网点布局方面有何调整？</w:t>
      </w:r>
    </w:p>
    <w:p>
      <w:r>
        <w:rPr>
          <w:rFonts w:ascii="等线(中文正文)" w:hAnsi="等线(中文正文)" w:cs="等线(中文正文)" w:eastAsia="等线(中文正文)"/>
          <w:b w:val="false"/>
          <w:i w:val="false"/>
          <w:sz w:val="20"/>
        </w:rPr>
        <w:t>发言人1 答：2025年新增了135个网点，主要集中在四川、陕西、山东、江苏、甘肃、广东等省份，以直营新型基地为主，每个网点规模较小，便于快速响应市场需求。</w:t>
      </w:r>
    </w:p>
    <w:p>
      <w:r>
        <w:rPr>
          <w:rFonts w:ascii="等线(中文正文)" w:hAnsi="等线(中文正文)" w:cs="等线(中文正文)" w:eastAsia="等线(中文正文)"/>
          <w:b w:val="false"/>
          <w:i w:val="false"/>
          <w:sz w:val="20"/>
        </w:rPr>
        <w:t/>
      </w:r>
    </w:p>
    <w:p>
      <w:pPr>
        <w:pStyle w:val="ab"/>
      </w:pPr>
      <w:r>
        <w:t>发言人1 问：公司的战略调整方向是什么？</w:t>
      </w:r>
    </w:p>
    <w:p>
      <w:r>
        <w:rPr>
          <w:rFonts w:ascii="等线(中文正文)" w:hAnsi="等线(中文正文)" w:cs="等线(中文正文)" w:eastAsia="等线(中文正文)"/>
          <w:b w:val="false"/>
          <w:i w:val="false"/>
          <w:sz w:val="20"/>
        </w:rPr>
        <w:t>发言人1 答：公司在恢复传统业务的同时，提出了全面AI化战略，推出了一系列AI相关产品和服务，包括AIG学习机、AI面试系统等，并成立了专门的子公司来推动AI加系列就业产品课程的研发与推广。</w:t>
      </w:r>
    </w:p>
    <w:p>
      <w:r>
        <w:rPr>
          <w:rFonts w:ascii="等线(中文正文)" w:hAnsi="等线(中文正文)" w:cs="等线(中文正文)" w:eastAsia="等线(中文正文)"/>
          <w:b w:val="false"/>
          <w:i w:val="false"/>
          <w:sz w:val="20"/>
        </w:rPr>
        <w:t/>
      </w:r>
    </w:p>
    <w:p>
      <w:pPr>
        <w:pStyle w:val="ab"/>
      </w:pPr>
      <w:r>
        <w:t>发言人1 问：竞争因素是否对行业变化起到关键作用？另外，从需求角度来看，比如长周期产品的增多，这与当前学员群体的变化是否有联系？</w:t>
      </w:r>
    </w:p>
    <w:p>
      <w:r>
        <w:rPr>
          <w:rFonts w:ascii="等线(中文正文)" w:hAnsi="等线(中文正文)" w:cs="等线(中文正文)" w:eastAsia="等线(中文正文)"/>
          <w:b w:val="false"/>
          <w:i w:val="false"/>
          <w:sz w:val="20"/>
        </w:rPr>
        <w:t>发言人1 答：竞争因素确实较为重要。从客户端分析，就业市场的激烈竞争促使大学毕业生提前准备，例如很多学员从大一或大二就开始为公务员考试等准备，这导致了长周期课程需求的增长。随着市场竞争日趋激烈和需求分散，预计未来市场集中度会向头部机构集中，中小机构和个人工作室由于在师资、成本等方面的劣势，可能会加速出清。</w:t>
      </w:r>
    </w:p>
    <w:p>
      <w:r>
        <w:rPr>
          <w:rFonts w:ascii="等线(中文正文)" w:hAnsi="等线(中文正文)" w:cs="等线(中文正文)" w:eastAsia="等线(中文正文)"/>
          <w:b w:val="false"/>
          <w:i w:val="false"/>
          <w:sz w:val="20"/>
        </w:rPr>
        <w:t/>
      </w:r>
    </w:p>
    <w:p>
      <w:pPr>
        <w:pStyle w:val="ab"/>
      </w:pPr>
      <w:r>
        <w:t>发言人1 问：与腰部和头部竞争对手相比，我们有哪些差异和优势？</w:t>
      </w:r>
    </w:p>
    <w:p>
      <w:r>
        <w:rPr>
          <w:rFonts w:ascii="等线(中文正文)" w:hAnsi="等线(中文正文)" w:cs="等线(中文正文)" w:eastAsia="等线(中文正文)"/>
          <w:b w:val="false"/>
          <w:i w:val="false"/>
          <w:sz w:val="20"/>
        </w:rPr>
        <w:t>发言人1 答：我们相较于中小机构的优势主要体现在研发方面。头部机构具备较强的研发实力，能够覆盖更长的产品链条，并根据各类考试周期（如省考、国考高峰期）合理安排运营资金，降低资金压力。而中小机构在资金链断裂或成本过高的情况下难以持续运营。</w:t>
      </w:r>
    </w:p>
    <w:p>
      <w:r>
        <w:rPr>
          <w:rFonts w:ascii="等线(中文正文)" w:hAnsi="等线(中文正文)" w:cs="等线(中文正文)" w:eastAsia="等线(中文正文)"/>
          <w:b w:val="false"/>
          <w:i w:val="false"/>
          <w:sz w:val="20"/>
        </w:rPr>
        <w:t/>
      </w:r>
    </w:p>
    <w:p>
      <w:pPr>
        <w:pStyle w:val="ab"/>
      </w:pPr>
      <w:r>
        <w:t>发言人1 问：国考和省考招录人数减少会对行业产生何种影响逻辑？</w:t>
      </w:r>
    </w:p>
    <w:p>
      <w:r>
        <w:rPr>
          <w:rFonts w:ascii="等线(中文正文)" w:hAnsi="等线(中文正文)" w:cs="等线(中文正文)" w:eastAsia="等线(中文正文)"/>
          <w:b w:val="false"/>
          <w:i w:val="false"/>
          <w:sz w:val="20"/>
        </w:rPr>
        <w:t>发言人1 答：招录人数减少会导致竞争更加激烈，但参考率仍然较高，尤其是在公职类考试领域。考生准备时间前置，参考率保持高位，且通过笔试后参与面试培训的比例接近百分百。同时，公职类考试的翻倍率长期维持高位，部分就业压力大的人群会选择参加其他类型的就业培训，这为行业发展提供了空间。此外，随着产品定位的调整，头部机构在产品溢价方面具有较大优势。</w:t>
      </w:r>
    </w:p>
    <w:p>
      <w:r>
        <w:rPr>
          <w:rFonts w:ascii="等线(中文正文)" w:hAnsi="等线(中文正文)" w:cs="等线(中文正文)" w:eastAsia="等线(中文正文)"/>
          <w:b w:val="false"/>
          <w:i w:val="false"/>
          <w:sz w:val="20"/>
        </w:rPr>
        <w:t/>
      </w:r>
    </w:p>
    <w:p>
      <w:pPr>
        <w:pStyle w:val="ab"/>
      </w:pPr>
      <w:r>
        <w:t>发言人1 问：去年我们重新回到了分支机构数量正增长的状态，对于平均每个分支机构的体量和单链模型的情况，有没有相应的展望和期待？</w:t>
      </w:r>
    </w:p>
    <w:p>
      <w:r>
        <w:rPr>
          <w:rFonts w:ascii="等线(中文正文)" w:hAnsi="等线(中文正文)" w:cs="等线(中文正文)" w:eastAsia="等线(中文正文)"/>
          <w:b w:val="false"/>
          <w:i w:val="false"/>
          <w:sz w:val="20"/>
        </w:rPr>
        <w:t>发言人1 答：对于网点的扩建，总部采取了非常审慎的态度。新增网点需确保能够盈利，并在前期经过充分的市场调研以保证现有网点的盈利水平。若要在省级或市级范围内新开网点，则需要进行更为详尽的调研，确保新开网点也能实现盈利。</w:t>
      </w:r>
    </w:p>
    <w:p>
      <w:r>
        <w:rPr>
          <w:rFonts w:ascii="等线(中文正文)" w:hAnsi="等线(中文正文)" w:cs="等线(中文正文)" w:eastAsia="等线(中文正文)"/>
          <w:b w:val="false"/>
          <w:i w:val="false"/>
          <w:sz w:val="20"/>
        </w:rPr>
        <w:t/>
      </w:r>
    </w:p>
    <w:p>
      <w:pPr>
        <w:pStyle w:val="ab"/>
      </w:pPr>
      <w:r>
        <w:t>发言人1 问：新建网点与之前网点的关系如何？</w:t>
      </w:r>
    </w:p>
    <w:p>
      <w:r>
        <w:rPr>
          <w:rFonts w:ascii="等线(中文正文)" w:hAnsi="等线(中文正文)" w:cs="等线(中文正文)" w:eastAsia="等线(中文正文)"/>
          <w:b w:val="false"/>
          <w:i w:val="false"/>
          <w:sz w:val="20"/>
        </w:rPr>
        <w:t>发言人1 答：新建网点并不依赖于之前是否关闭过网点，而是根据新的市场需求和调研结果来决定。只要经过充分调研，能实现盈利，就会向总部申请开设新网点。</w:t>
      </w:r>
    </w:p>
    <w:p>
      <w:r>
        <w:rPr>
          <w:rFonts w:ascii="等线(中文正文)" w:hAnsi="等线(中文正文)" w:cs="等线(中文正文)" w:eastAsia="等线(中文正文)"/>
          <w:b w:val="false"/>
          <w:i w:val="false"/>
          <w:sz w:val="20"/>
        </w:rPr>
        <w:t/>
      </w:r>
    </w:p>
    <w:p>
      <w:pPr>
        <w:pStyle w:val="ab"/>
      </w:pPr>
      <w:r>
        <w:t>发言人1 问：关于协议班的情况，现在其在产品中的比例、收款或实收的新口径以及风险状况如何？</w:t>
      </w:r>
    </w:p>
    <w:p>
      <w:r>
        <w:rPr>
          <w:rFonts w:ascii="等线(中文正文)" w:hAnsi="等线(中文正文)" w:cs="等线(中文正文)" w:eastAsia="等线(中文正文)"/>
          <w:b w:val="false"/>
          <w:i w:val="false"/>
          <w:sz w:val="20"/>
        </w:rPr>
        <w:t>发言人1 答：协议班占产品整体比例没有明确给出，但强调所有产品以成本和利润核算为基础，实收率需保持在70%以上。尽管存在协议班，但由于综合性的班型中包含实收和退款部分，没有单独的协议班占比数据。</w:t>
      </w:r>
    </w:p>
    <w:p>
      <w:r>
        <w:rPr>
          <w:rFonts w:ascii="等线(中文正文)" w:hAnsi="等线(中文正文)" w:cs="等线(中文正文)" w:eastAsia="等线(中文正文)"/>
          <w:b w:val="false"/>
          <w:i w:val="false"/>
          <w:sz w:val="20"/>
        </w:rPr>
        <w:t/>
      </w:r>
    </w:p>
    <w:p>
      <w:pPr>
        <w:pStyle w:val="ab"/>
      </w:pPr>
      <w:r>
        <w:t>发言人1 问：从盈利恢复的角度看，我们如何看待当前的趋势及未来盈利水平的展望？</w:t>
      </w:r>
    </w:p>
    <w:p>
      <w:r>
        <w:rPr>
          <w:rFonts w:ascii="等线(中文正文)" w:hAnsi="等线(中文正文)" w:cs="等线(中文正文)" w:eastAsia="等线(中文正文)"/>
          <w:b w:val="false"/>
          <w:i w:val="false"/>
          <w:sz w:val="20"/>
        </w:rPr>
        <w:t>发言人1 答：从去年四季度到今年一季度，盈利恢复呈现起步状态。对于未来盈利恢复的程度，将参考历史经验并结合最新财报数据进行判断。目前看，全年收款增长目标有望完成，而净利润受财务费用拖累较大，尤其是中东地区的财务费用较重。对于未来三年的盈利中枢增长，需谨慎对待，目前尚无法给出确切数字。</w:t>
      </w:r>
    </w:p>
    <w:p>
      <w:r>
        <w:rPr>
          <w:rFonts w:ascii="等线(中文正文)" w:hAnsi="等线(中文正文)" w:cs="等线(中文正文)" w:eastAsia="等线(中文正文)"/>
          <w:b w:val="false"/>
          <w:i w:val="false"/>
          <w:sz w:val="20"/>
        </w:rPr>
        <w:t/>
      </w:r>
    </w:p>
    <w:p>
      <w:pPr>
        <w:pStyle w:val="ab"/>
      </w:pPr>
      <w:r>
        <w:t>发言人1 问：公司在AI方向的布局情况如何，包括已有的产品形态及未来展望？</w:t>
      </w:r>
    </w:p>
    <w:p>
      <w:r>
        <w:rPr>
          <w:rFonts w:ascii="等线(中文正文)" w:hAnsi="等线(中文正文)" w:cs="等线(中文正文)" w:eastAsia="等线(中文正文)"/>
          <w:b w:val="false"/>
          <w:i w:val="false"/>
          <w:sz w:val="20"/>
        </w:rPr>
        <w:t>发言人1 答：公司在AI方向上，去年已推出AI学习机和相关耳机产品，并在今年上半年将AI面试功能内置其中，该功能已被应用于省考面试高端班级中，作为授课的一部分，帮助学员课下训练，提升了学员体验并提高了客单价。同时，AI加就业产品线也在今年3月到4月期间推出了IAI加数据工程师课程，并计划对这一系列进行拓展。</w:t>
      </w:r>
    </w:p>
    <w:p>
      <w:r>
        <w:rPr>
          <w:rFonts w:ascii="等线(中文正文)" w:hAnsi="等线(中文正文)" w:cs="等线(中文正文)" w:eastAsia="等线(中文正文)"/>
          <w:b w:val="false"/>
          <w:i w:val="false"/>
          <w:sz w:val="20"/>
        </w:rPr>
        <w:t/>
      </w:r>
    </w:p>
    <w:p>
      <w:pPr>
        <w:pStyle w:val="ab"/>
      </w:pPr>
      <w:r>
        <w:t>发言人1 问：之前友商在销售AI加课程时，有人担心AI是否会替代我们原有的一些课程产品，比如培训需求和证件课程的需求和销售？</w:t>
      </w:r>
    </w:p>
    <w:p>
      <w:r>
        <w:rPr>
          <w:rFonts w:ascii="等线(中文正文)" w:hAnsi="等线(中文正文)" w:cs="等线(中文正文)" w:eastAsia="等线(中文正文)"/>
          <w:b w:val="false"/>
          <w:i w:val="false"/>
          <w:sz w:val="20"/>
        </w:rPr>
        <w:t>发言人1 答：我认为AI不会对正价课程产生太大影响。AI加群医疗险的目标群体不同，对于学员来说，如果他们选择购买硬件产品，可能是因为大一或大二的学生阶段，而大四面临就业的学生则更倾向于选择评估机构的面授课程。此外，我们之前推出的个性化产品以及全流程就业服务产品已通过市场验证，学员较为认可。</w:t>
      </w:r>
    </w:p>
    <w:p>
      <w:r>
        <w:rPr>
          <w:rFonts w:ascii="等线(中文正文)" w:hAnsi="等线(中文正文)" w:cs="等线(中文正文)" w:eastAsia="等线(中文正文)"/>
          <w:b w:val="false"/>
          <w:i w:val="false"/>
          <w:sz w:val="20"/>
        </w:rPr>
        <w:t/>
      </w:r>
    </w:p>
    <w:p>
      <w:pPr>
        <w:pStyle w:val="ab"/>
      </w:pPr>
      <w:r>
        <w:t>发言人1 问：AI学习机配备的学习模式是否得到了学员的认可，以及它是否会提升平均单客消费额？</w:t>
      </w:r>
    </w:p>
    <w:p>
      <w:r>
        <w:rPr>
          <w:rFonts w:ascii="等线(中文正文)" w:hAnsi="等线(中文正文)" w:cs="等线(中文正文)" w:eastAsia="等线(中文正文)"/>
          <w:b w:val="false"/>
          <w:i w:val="false"/>
          <w:sz w:val="20"/>
        </w:rPr>
        <w:t>发言人1 答：是的，AI学习机配备的学习模式效果较好，学员认可度高。今年4月份的省考面试产品中，包含该模式并将其作为高端班型的一部分，有效提升了学习效果和学员满意度，从而可能提升我们的平均单客消费。</w:t>
      </w:r>
    </w:p>
    <w:p>
      <w:r>
        <w:rPr>
          <w:rFonts w:ascii="等线(中文正文)" w:hAnsi="等线(中文正文)" w:cs="等线(中文正文)" w:eastAsia="等线(中文正文)"/>
          <w:b w:val="false"/>
          <w:i w:val="false"/>
          <w:sz w:val="20"/>
        </w:rPr>
        <w:t/>
      </w:r>
    </w:p>
    <w:p>
      <w:pPr>
        <w:pStyle w:val="ab"/>
      </w:pPr>
      <w:r>
        <w:t>发言人1 问：AI学习机内置功能是否免费，还是需要额外付费才能享受更全面的服务？</w:t>
      </w:r>
    </w:p>
    <w:p>
      <w:r>
        <w:rPr>
          <w:rFonts w:ascii="等线(中文正文)" w:hAnsi="等线(中文正文)" w:cs="等线(中文正文)" w:eastAsia="等线(中文正文)"/>
          <w:b w:val="false"/>
          <w:i w:val="false"/>
          <w:sz w:val="20"/>
        </w:rPr>
        <w:t>发言人1 答：内置的基本功能是免费的。如果学员除了基本功能外，还需要更个性化的辅导服务，比如针对特定单位或业务的面试准备，这时会收取相应的打包服务费用。但基本的AI助学功能如模拟面试题型等都是免费包含在内的。</w:t>
      </w:r>
    </w:p>
    <w:p>
      <w:r>
        <w:rPr>
          <w:rFonts w:ascii="等线(中文正文)" w:hAnsi="等线(中文正文)" w:cs="等线(中文正文)" w:eastAsia="等线(中文正文)"/>
          <w:b w:val="false"/>
          <w:i w:val="false"/>
          <w:sz w:val="20"/>
        </w:rPr>
        <w:t/>
      </w:r>
    </w:p>
    <w:p>
      <w:pPr>
        <w:pStyle w:val="ab"/>
      </w:pPr>
      <w:r>
        <w:t>发言人1 问：公司近几年的产品布局思路是否有所调整，特别是在公务员、教师和其他综合项目上的占比变化情况？</w:t>
      </w:r>
    </w:p>
    <w:p>
      <w:r>
        <w:rPr>
          <w:rFonts w:ascii="等线(中文正文)" w:hAnsi="等线(中文正文)" w:cs="等线(中文正文)" w:eastAsia="等线(中文正文)"/>
          <w:b w:val="false"/>
          <w:i w:val="false"/>
          <w:sz w:val="20"/>
        </w:rPr>
        <w:t>发言人1 答：近几年，公司的产品布局确实发生了变化。原本以公务员和教师类业务为基础，同时推动其他综合项目的快速增长。但现在，除了公职类产品的公务员和教师资格证类目占比有所收缩，公司也在拓展多元化细分领域，如体育类技术培训等非公职类就业培训项目。</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2026-05-17T03:55:14Z</dcterms:created>
  <dc:creator>Apache POI</dc:creator>
</cp:coreProperties>
</file>