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【摩根士丹利】亚洲宏观展望：核心主题及如何为2026年下半年布局 260514_导读</w:t>
      </w:r>
    </w:p>
    <w:p>
      <w:pPr>
        <w:pStyle w:val="a0"/>
        <w:jc w:val="center"/>
      </w:pPr>
      <w:r>
        <w:t>2026年05月14日 21:56</w:t>
      </w:r>
    </w:p>
    <w:p>
      <w:pPr>
        <w:pStyle w:val="a7"/>
      </w:pPr>
      <w:r>
        <w:t>关键词</w:t>
      </w:r>
    </w:p>
    <w:p>
      <w:r>
        <w:rPr>
          <w:rFonts w:ascii="等线(中文正文)" w:hAnsi="等线(中文正文)" w:cs="等线(中文正文)" w:eastAsia="等线(中文正文)"/>
          <w:b w:val="false"/>
          <w:i w:val="false"/>
          <w:sz w:val="20"/>
        </w:rPr>
        <w:t xml:space="preserve">oil Prices industrial cycle energy shock SMP USUS central banks cnh 关注公众号 Morgan stand growth terms japan industrial capex target multiples asia currencies banks outlook inflation outlook asia micro equity strategy 思维纪要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讨论了外汇市场中美元对其他货币的影响，以及利率变动对亚洲货币和收益率的影响。信息技术降低了美元持有成本，影响外国投资者，美元可能弱势但非结构性，美国经济增长强劲。法国总统选举和欧元负面情绪可能对美元有影响。亚洲货币受油价波动、工业周期和中国出口影响，预计美国利率下降，亚洲地区因通胀风险和政策紧缩走势不同。日本和韩国市场表现出市场分化，特定股票表现和政策变化对银行股有影响。同时，讨论了亚洲微网播的经济前景和投资策略，强调全球经济形势、工业周期、能源冲击对亚洲经济的影响，以及投资者如何定位投资组合。特别关注了韩国、台湾、中国和日本等经济体从工业周期复苏中受益的情况，亚洲市场在2026年下半年被看作是乐观的，虽然存在能源价格问题，但政策补贴有助于缓解影响。整体而言，讨论体现了对亚洲经济和市场的积极看法，强调了新兴技术和能源转型领域的投资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亚洲市场前景与投资策略探讨</w:t>
      </w:r>
    </w:p>
    <w:p>
      <w:r>
        <w:rPr>
          <w:rFonts w:ascii="等线(中文正文)" w:hAnsi="等线(中文正文)" w:cs="等线(中文正文)" w:eastAsia="等线(中文正文)"/>
          <w:b w:val="false"/>
          <w:i w:val="false"/>
          <w:sz w:val="20"/>
        </w:rPr>
        <w:t>对话围绕亚洲市场及投资策略展开，强调了高油价对经济周期的影响，并指出维持对亚洲市场的乐观态度。讨论了投资者应关注的关键经济主题及市场定位，旨在为机构客户提供投资指导。</w:t>
      </w:r>
    </w:p>
    <w:p>
      <w:r>
        <w:rPr>
          <w:rFonts w:ascii="等线(中文正文)" w:hAnsi="等线(中文正文)" w:cs="等线(中文正文)" w:eastAsia="等线(中文正文)"/>
          <w:b w:val="false"/>
          <w:i w:val="false"/>
          <w:sz w:val="20"/>
        </w:rPr>
        <w:t/>
      </w:r>
    </w:p>
    <w:p>
      <w:pPr>
        <w:pStyle w:val="ab"/>
        <w:numPr>
          <w:numId w:val="2"/>
        </w:numPr>
      </w:pPr>
      <w:r>
        <w:t>01:53 工业周期与出口增长：全球经济复苏的双引擎</w:t>
      </w:r>
    </w:p>
    <w:p>
      <w:r>
        <w:rPr>
          <w:rFonts w:ascii="等线(中文正文)" w:hAnsi="等线(中文正文)" w:cs="等线(中文正文)" w:eastAsia="等线(中文正文)"/>
          <w:b w:val="false"/>
          <w:i w:val="false"/>
          <w:sz w:val="20"/>
        </w:rPr>
        <w:t>讨论了全球经济增长的两个关键因素：工业周期的持续升级和出口的强劲表现。尽管能源价格和供应链问题曾对增长预期构成威胁，但通过观察PMI指数、大宗商品价格、贸易数据以及资本货物订单等指标，发现工业生产和出口活动正在恢复，非半导体类出口尤其显著增长。这些积极信号表明经济复苏可能更为广泛，且有潜力吸收前期冲击的影响。</w:t>
      </w:r>
    </w:p>
    <w:p>
      <w:r>
        <w:rPr>
          <w:rFonts w:ascii="等线(中文正文)" w:hAnsi="等线(中文正文)" w:cs="等线(中文正文)" w:eastAsia="等线(中文正文)"/>
          <w:b w:val="false"/>
          <w:i w:val="false"/>
          <w:sz w:val="20"/>
        </w:rPr>
        <w:t/>
      </w:r>
    </w:p>
    <w:p>
      <w:pPr>
        <w:pStyle w:val="ab"/>
        <w:numPr>
          <w:numId w:val="3"/>
        </w:numPr>
      </w:pPr>
      <w:r>
        <w:t>05:01 亚洲工业周期与全球资本支出趋势分析</w:t>
      </w:r>
    </w:p>
    <w:p>
      <w:r>
        <w:rPr>
          <w:rFonts w:ascii="等线(中文正文)" w:hAnsi="等线(中文正文)" w:cs="等线(中文正文)" w:eastAsia="等线(中文正文)"/>
          <w:b w:val="false"/>
          <w:i w:val="false"/>
          <w:sz w:val="20"/>
        </w:rPr>
        <w:t>对话讨论了亚洲工业周期的驱动因素，特别是资本支出的增长，包括AI、能源转型和工业领域的投资。预计全球资本支出将从11万亿美元增长至16万亿美元，其中工业资本支出将以10%的年复合增长率增长，而高科技领域如AI、国防和能源则将以16%的年复合增长率增长。亚洲国家如台湾、韩国、中国和日本预计将从这一工业周期中受益。同时，油价波动和消费市场的影响也被提及，亚洲政策制定者通过补贴燃油价格来缓解消费者压力。</w:t>
      </w:r>
    </w:p>
    <w:p>
      <w:r>
        <w:rPr>
          <w:rFonts w:ascii="等线(中文正文)" w:hAnsi="等线(中文正文)" w:cs="等线(中文正文)" w:eastAsia="等线(中文正文)"/>
          <w:b w:val="false"/>
          <w:i w:val="false"/>
          <w:sz w:val="20"/>
        </w:rPr>
        <w:t/>
      </w:r>
    </w:p>
    <w:p>
      <w:pPr>
        <w:pStyle w:val="ab"/>
        <w:numPr>
          <w:numId w:val="4"/>
        </w:numPr>
      </w:pPr>
      <w:r>
        <w:t>08:14 中国在全球能源与工业周期中的角色</w:t>
      </w:r>
    </w:p>
    <w:p>
      <w:r>
        <w:rPr>
          <w:rFonts w:ascii="等线(中文正文)" w:hAnsi="等线(中文正文)" w:cs="等线(中文正文)" w:eastAsia="等线(中文正文)"/>
          <w:b w:val="false"/>
          <w:i w:val="false"/>
          <w:sz w:val="20"/>
        </w:rPr>
        <w:t>讨论了中国在全球能源市场和工业周期中的重要影响，指出中国减少进口和美国增加出口共同改善了全球石油供需平衡，尽管存在挑战，但整体经济前景依然乐观。</w:t>
      </w:r>
    </w:p>
    <w:p>
      <w:r>
        <w:rPr>
          <w:rFonts w:ascii="等线(中文正文)" w:hAnsi="等线(中文正文)" w:cs="等线(中文正文)" w:eastAsia="等线(中文正文)"/>
          <w:b w:val="false"/>
          <w:i w:val="false"/>
          <w:sz w:val="20"/>
        </w:rPr>
        <w:t/>
      </w:r>
    </w:p>
    <w:p>
      <w:pPr>
        <w:pStyle w:val="ab"/>
        <w:numPr>
          <w:numId w:val="5"/>
        </w:numPr>
      </w:pPr>
      <w:r>
        <w:t>10:22 亚洲市场展望与投资策略</w:t>
      </w:r>
    </w:p>
    <w:p>
      <w:r>
        <w:rPr>
          <w:rFonts w:ascii="等线(中文正文)" w:hAnsi="等线(中文正文)" w:cs="等线(中文正文)" w:eastAsia="等线(中文正文)"/>
          <w:b w:val="false"/>
          <w:i w:val="false"/>
          <w:sz w:val="20"/>
        </w:rPr>
        <w:t>讨论了亚洲市场的未来展望，包括目标设定、行业偏好和投资建议。提出在当前不确定性高的环境下，采取稳健策略，偏好日本市场，对EM市场持中性态度。强调科技、能源和工业领域的投资机会，同时对传统汽车、消费品等持负面看法。指出中国和印度不在长期牛市中，而韩国和台湾受益于全球趋势表现良好。最后，强调今年的投资重点在于盈利而非估值。</w:t>
      </w:r>
    </w:p>
    <w:p>
      <w:r>
        <w:rPr>
          <w:rFonts w:ascii="等线(中文正文)" w:hAnsi="等线(中文正文)" w:cs="等线(中文正文)" w:eastAsia="等线(中文正文)"/>
          <w:b w:val="false"/>
          <w:i w:val="false"/>
          <w:sz w:val="20"/>
        </w:rPr>
        <w:t/>
      </w:r>
    </w:p>
    <w:p>
      <w:pPr>
        <w:pStyle w:val="ab"/>
        <w:numPr>
          <w:numId w:val="6"/>
        </w:numPr>
      </w:pPr>
      <w:r>
        <w:t>17:58 韩国股市前景乐观，消费增长推动经济复苏</w:t>
      </w:r>
    </w:p>
    <w:p>
      <w:r>
        <w:rPr>
          <w:rFonts w:ascii="等线(中文正文)" w:hAnsi="等线(中文正文)" w:cs="等线(中文正文)" w:eastAsia="等线(中文正文)"/>
          <w:b w:val="false"/>
          <w:i w:val="false"/>
          <w:sz w:val="20"/>
        </w:rPr>
        <w:t>对话讨论了韩国股市的积极前景，提到股市已实现显著增长，预期未来将继续上涨。经济数据优于预期，尤其是消费增长显著，带动GDP增速上调。预计通胀将上升，央行可能进一步加息。市场趋势显示经济处于扩张阶段，为20年来的首次。分析师建议投资者保持对工业科技、汽车、医疗和银行等领域的偏好，同时维持防御性立场。</w:t>
      </w:r>
    </w:p>
    <w:p>
      <w:r>
        <w:rPr>
          <w:rFonts w:ascii="等线(中文正文)" w:hAnsi="等线(中文正文)" w:cs="等线(中文正文)" w:eastAsia="等线(中文正文)"/>
          <w:b w:val="false"/>
          <w:i w:val="false"/>
          <w:sz w:val="20"/>
        </w:rPr>
        <w:t/>
      </w:r>
    </w:p>
    <w:p>
      <w:pPr>
        <w:pStyle w:val="ab"/>
        <w:numPr>
          <w:numId w:val="7"/>
        </w:numPr>
      </w:pPr>
      <w:r>
        <w:t>21:11 市场流动性与行业趋势分析</w:t>
      </w:r>
    </w:p>
    <w:p>
      <w:r>
        <w:rPr>
          <w:rFonts w:ascii="等线(中文正文)" w:hAnsi="等线(中文正文)" w:cs="等线(中文正文)" w:eastAsia="等线(中文正文)"/>
          <w:b w:val="false"/>
          <w:i w:val="false"/>
          <w:sz w:val="20"/>
        </w:rPr>
        <w:t>讨论了内存市场动态、数据中心延迟、AI驱动的计算需求增长、韩国行业吸引力提升，以及ETF对市场流动性的影响，强调了长期协议价格对市场周期的影响和能源安全领域的投资机会。</w:t>
      </w:r>
    </w:p>
    <w:p>
      <w:r>
        <w:rPr>
          <w:rFonts w:ascii="等线(中文正文)" w:hAnsi="等线(中文正文)" w:cs="等线(中文正文)" w:eastAsia="等线(中文正文)"/>
          <w:b w:val="false"/>
          <w:i w:val="false"/>
          <w:sz w:val="20"/>
        </w:rPr>
        <w:t/>
      </w:r>
    </w:p>
    <w:p>
      <w:pPr>
        <w:pStyle w:val="ab"/>
        <w:numPr>
          <w:numId w:val="8"/>
        </w:numPr>
      </w:pPr>
      <w:r>
        <w:t>25:10 美元走势与亚洲货币前景分析</w:t>
      </w:r>
    </w:p>
    <w:p>
      <w:r>
        <w:rPr>
          <w:rFonts w:ascii="等线(中文正文)" w:hAnsi="等线(中文正文)" w:cs="等线(中文正文)" w:eastAsia="等线(中文正文)"/>
          <w:b w:val="false"/>
          <w:i w:val="false"/>
          <w:sz w:val="20"/>
        </w:rPr>
        <w:t>对话围绕美元未来走势及其对亚洲货币的影响展开，预测美元将适度走弱，但非结构性变化。分析指出，全球经济增长、通胀缓和、油价回落及利率差异缩小等因素将支撑美元弱势，尤其对风险货币有利。亚洲货币预计保持区间波动，若油价回落则有望回升，其中受益于工业周期的货币如新台币、新加坡元等预期表现较好。</w:t>
      </w:r>
    </w:p>
    <w:p>
      <w:r>
        <w:rPr>
          <w:rFonts w:ascii="等线(中文正文)" w:hAnsi="等线(中文正文)" w:cs="等线(中文正文)" w:eastAsia="等线(中文正文)"/>
          <w:b w:val="false"/>
          <w:i w:val="false"/>
          <w:sz w:val="20"/>
        </w:rPr>
        <w:t/>
      </w:r>
    </w:p>
    <w:p>
      <w:pPr>
        <w:pStyle w:val="ab"/>
        <w:numPr>
          <w:numId w:val="9"/>
        </w:numPr>
      </w:pPr>
      <w:r>
        <w:t>31:01 全球货币与亚洲利率展望</w:t>
      </w:r>
    </w:p>
    <w:p>
      <w:r>
        <w:rPr>
          <w:rFonts w:ascii="等线(中文正文)" w:hAnsi="等线(中文正文)" w:cs="等线(中文正文)" w:eastAsia="等线(中文正文)"/>
          <w:b w:val="false"/>
          <w:i w:val="false"/>
          <w:sz w:val="20"/>
        </w:rPr>
        <w:t>讨论了全球货币走势及亚洲利率变化，指出美元可能下降，亚洲部分国家因通胀风险及经济增长支持利率上升，而中国和韩国市场表现值得关注，因其流动性充足且有出口优势。</w:t>
      </w:r>
    </w:p>
    <w:p>
      <w:r>
        <w:rPr>
          <w:rFonts w:ascii="等线(中文正文)" w:hAnsi="等线(中文正文)" w:cs="等线(中文正文)" w:eastAsia="等线(中文正文)"/>
          <w:b w:val="false"/>
          <w:i w:val="false"/>
          <w:sz w:val="20"/>
        </w:rPr>
        <w:t/>
      </w:r>
    </w:p>
    <w:p>
      <w:pPr>
        <w:pStyle w:val="ab"/>
        <w:numPr>
          <w:numId w:val="10"/>
        </w:numPr>
      </w:pPr>
      <w:r>
        <w:t>34:12 亚洲通胀与中央银行政策展望</w:t>
      </w:r>
    </w:p>
    <w:p>
      <w:r>
        <w:rPr>
          <w:rFonts w:ascii="等线(中文正文)" w:hAnsi="等线(中文正文)" w:cs="等线(中文正文)" w:eastAsia="等线(中文正文)"/>
          <w:b w:val="false"/>
          <w:i w:val="false"/>
          <w:sz w:val="20"/>
        </w:rPr>
        <w:t>讨论了亚洲各经济体面临的通胀压力及中央银行的应对策略。日本、韩国和澳大利亚等国的中央银行在冲突前后的通胀表现及政策反应被重点分析。韩国尽管尚未完全进入加息周期，但在区域内的鹰派程度排名第三。整体而言，亚洲地区的通胀水平相对较低，政府通过分担燃油价格上涨成本，有效控制了通胀压力。日本市场方面，尽管整体指数上涨，但存在个股表现分化，建议投资者关注具体行业和企业表现，而非单纯依赖央行利率调整策略。</w:t>
      </w:r>
    </w:p>
    <w:p>
      <w:r>
        <w:rPr>
          <w:rFonts w:ascii="等线(中文正文)" w:hAnsi="等线(中文正文)" w:cs="等线(中文正文)" w:eastAsia="等线(中文正文)"/>
          <w:b w:val="false"/>
          <w:i w:val="false"/>
          <w:sz w:val="20"/>
        </w:rPr>
        <w:t/>
      </w:r>
    </w:p>
    <w:p>
      <w:pPr>
        <w:pStyle w:val="ab"/>
        <w:numPr>
          <w:numId w:val="11"/>
        </w:numPr>
      </w:pPr>
      <w:r>
        <w:t>38:27 韩国市场零售资金推动与IT行业表现分析</w:t>
      </w:r>
    </w:p>
    <w:p>
      <w:r>
        <w:rPr>
          <w:rFonts w:ascii="等线(中文正文)" w:hAnsi="等线(中文正文)" w:cs="等线(中文正文)" w:eastAsia="等线(中文正文)"/>
          <w:b w:val="false"/>
          <w:i w:val="false"/>
          <w:sz w:val="20"/>
        </w:rPr>
        <w:t>对话讨论了韩国市场因大量零售资金流入而产生的高波动性，以及IT行业的市场表现。专家指出，虽然IT行业被看好，但其表现滞后，可能与长期投资策略调整有关。此外，还分析了美元走势对韩国市场的影响，强调美联储政策和美债收益率差异是关键风险因素。最后，对韩国银行和IT企业的投资策略进行了评估，认为短期波动可能影响美元预期，但长期结构性增长机会依然存在。</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首先分析了美元贬值的三大原因：全球经济复苏预期、美国通胀缓解及油价下降推高了全球资金对其他货币的偏好；美联储利率政策与欧洲及英国央行的对比，预示着美元与全球其他货币的利率差异可能缩小；以及风险溢价的预期回升，反映了投资者对美元资产安全性的疑虑，导致美元吸引力下降。尽管预计短期内美元将相对弱势，但他强调了美国经济增长潜力及未来法国总统选举等因素，暗示美元长期恢复的可能性。他进一步探讨了亚洲货币的表现，预测在美元走弱和油价稳定的背景下，亚洲货币尤其是出口导向型国家的货币将表现良好。此外，他指出美国利率预计将下降，而亚洲则可能上升，这将影响亚洲内部不同国家的利率表现。他强调了市场对央行政策和经济数据的敏感性，以及这些因素如何影响不同资产的表现。他还详细分析了经济前景，特别关注了工业周期的演变和能源价格对亚洲市场的影响，提到亚洲经济体展现出的韧性、资本支出的增长以及特定行业和股票的潜在机会。最后，他预测美元的适度弱势将对亚洲市场产生积极影响。</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impact is high oil prices expected to have on the economic outlook?</w:t>
      </w:r>
    </w:p>
    <w:p>
      <w:r>
        <w:rPr>
          <w:rFonts w:ascii="等线(中文正文)" w:hAnsi="等线(中文正文)" w:cs="等线(中文正文)" w:eastAsia="等线(中文正文)"/>
          <w:b w:val="false"/>
          <w:i w:val="false"/>
          <w:sz w:val="20"/>
        </w:rPr>
        <w:t>发言人1 答：High oil prices are expected to cause damage to the economy, but Morgan Stanley's base case is that the industrial cycle will continue to upgrade and absorb the shock of higher energy prices, maintaining a constructive view on Asia microfinance.</w:t>
      </w:r>
    </w:p>
    <w:p>
      <w:r>
        <w:rPr>
          <w:rFonts w:ascii="等线(中文正文)" w:hAnsi="等线(中文正文)" w:cs="等线(中文正文)" w:eastAsia="等线(中文正文)"/>
          <w:b w:val="false"/>
          <w:i w:val="false"/>
          <w:sz w:val="20"/>
        </w:rPr>
        <w:t/>
      </w:r>
    </w:p>
    <w:p>
      <w:pPr>
        <w:pStyle w:val="ab"/>
      </w:pPr>
      <w:r>
        <w:t>发言人1 问：How has Morgan Stanley adjusted its growth forecast for 2026 due to oil prices and gas shortages?</w:t>
      </w:r>
    </w:p>
    <w:p>
      <w:r>
        <w:rPr>
          <w:rFonts w:ascii="等线(中文正文)" w:hAnsi="等线(中文正文)" w:cs="等线(中文正文)" w:eastAsia="等线(中文正文)"/>
          <w:b w:val="false"/>
          <w:i w:val="false"/>
          <w:sz w:val="20"/>
        </w:rPr>
        <w:t>发言人1 答：Morgan Stanley initially cut its growth forecast for 2026 to 4.4% in early April due to higher energy prices and gas shortages. However, they have since adjusted it back up, suggesting that the economy could absorb the shock of higher energy prices without deeper impact on growth.</w:t>
      </w:r>
    </w:p>
    <w:p>
      <w:r>
        <w:rPr>
          <w:rFonts w:ascii="等线(中文正文)" w:hAnsi="等线(中文正文)" w:cs="等线(中文正文)" w:eastAsia="等线(中文正文)"/>
          <w:b w:val="false"/>
          <w:i w:val="false"/>
          <w:sz w:val="20"/>
        </w:rPr>
        <w:t/>
      </w:r>
    </w:p>
    <w:p>
      <w:pPr>
        <w:pStyle w:val="ab"/>
      </w:pPr>
      <w:r>
        <w:t>发言人1 问：What are the indicators that the industrial cycle will continue to upgrade despite the impact of oil prices?</w:t>
      </w:r>
    </w:p>
    <w:p>
      <w:r>
        <w:rPr>
          <w:rFonts w:ascii="等线(中文正文)" w:hAnsi="等线(中文正文)" w:cs="等线(中文正文)" w:eastAsia="等线(中文正文)"/>
          <w:b w:val="false"/>
          <w:i w:val="false"/>
          <w:sz w:val="20"/>
        </w:rPr>
        <w:t>发言人1 答：The indicators that suggest the industrial cycle will continue to upgrade include the rebound of PMIs in Asia and other regions, persistent increases in commodity prices indicating robust industrial production, and strong trade numbers, especially in non-semiconductor exports and capital expenditure (capex) investments.</w:t>
      </w:r>
    </w:p>
    <w:p>
      <w:r>
        <w:rPr>
          <w:rFonts w:ascii="等线(中文正文)" w:hAnsi="等线(中文正文)" w:cs="等线(中文正文)" w:eastAsia="等线(中文正文)"/>
          <w:b w:val="false"/>
          <w:i w:val="false"/>
          <w:sz w:val="20"/>
        </w:rPr>
        <w:t/>
      </w:r>
    </w:p>
    <w:p>
      <w:pPr>
        <w:pStyle w:val="ab"/>
      </w:pPr>
      <w:r>
        <w:t>发言人1 问：How have non-semiconductor exports performed and what is their contribution to the economic outlook?</w:t>
      </w:r>
    </w:p>
    <w:p>
      <w:r>
        <w:rPr>
          <w:rFonts w:ascii="等线(中文正文)" w:hAnsi="等线(中文正文)" w:cs="等线(中文正文)" w:eastAsia="等线(中文正文)"/>
          <w:b w:val="false"/>
          <w:i w:val="false"/>
          <w:sz w:val="20"/>
        </w:rPr>
        <w:t>发言人1 答：Non-semiconductor exports have been performing well, with a significant improvement in export numbers since October 2022, recording a growth rate of about 22% in the mentioned period. This performance contributes positively to the economic outlook.</w:t>
      </w:r>
    </w:p>
    <w:p>
      <w:r>
        <w:rPr>
          <w:rFonts w:ascii="等线(中文正文)" w:hAnsi="等线(中文正文)" w:cs="等线(中文正文)" w:eastAsia="等线(中文正文)"/>
          <w:b w:val="false"/>
          <w:i w:val="false"/>
          <w:sz w:val="20"/>
        </w:rPr>
        <w:t/>
      </w:r>
    </w:p>
    <w:p>
      <w:pPr>
        <w:pStyle w:val="ab"/>
      </w:pPr>
      <w:r>
        <w:t>发言人1 问：What is the forecast for global capex and how does it affect the economies in the region?</w:t>
      </w:r>
    </w:p>
    <w:p>
      <w:r>
        <w:rPr>
          <w:rFonts w:ascii="等线(中文正文)" w:hAnsi="等线(中文正文)" w:cs="等线(中文正文)" w:eastAsia="等线(中文正文)"/>
          <w:b w:val="false"/>
          <w:i w:val="false"/>
          <w:sz w:val="20"/>
        </w:rPr>
        <w:t>发言人1 答：Global capex is forecasted to grow from $3.6 trillion to $4.2 trillion, with a projected rise to $16 trillion in aggregate, driven by investments in AI and AI-related infrastructure, energy transition, defense, and broader industrial sectors. This growth is expected to benefit economies in the region such as Taiwan, Korea, China, and Japan.</w:t>
      </w:r>
    </w:p>
    <w:p>
      <w:r>
        <w:rPr>
          <w:rFonts w:ascii="等线(中文正文)" w:hAnsi="等线(中文正文)" w:cs="等线(中文正文)" w:eastAsia="等线(中文正文)"/>
          <w:b w:val="false"/>
          <w:i w:val="false"/>
          <w:sz w:val="20"/>
        </w:rPr>
        <w:t/>
      </w:r>
    </w:p>
    <w:p>
      <w:pPr>
        <w:pStyle w:val="ab"/>
      </w:pPr>
      <w:r>
        <w:t>发言人1 问：Which economies are expected to benefit from the industrial cycle recovery and why?</w:t>
      </w:r>
    </w:p>
    <w:p>
      <w:r>
        <w:rPr>
          <w:rFonts w:ascii="等线(中文正文)" w:hAnsi="等线(中文正文)" w:cs="等线(中文正文)" w:eastAsia="等线(中文正文)"/>
          <w:b w:val="false"/>
          <w:i w:val="false"/>
          <w:sz w:val="20"/>
        </w:rPr>
        <w:t>发言人1 答：Economies expected to benefit from the industrial cycle recovery include Taiwan, Korea, China, and Japan. This is due to their significant participation in global trade and investment patterns that align with the growth in industrial capex and the high road segments such as AI and defense.</w:t>
      </w:r>
    </w:p>
    <w:p>
      <w:r>
        <w:rPr>
          <w:rFonts w:ascii="等线(中文正文)" w:hAnsi="等线(中文正文)" w:cs="等线(中文正文)" w:eastAsia="等线(中文正文)"/>
          <w:b w:val="false"/>
          <w:i w:val="false"/>
          <w:sz w:val="20"/>
        </w:rPr>
        <w:t/>
      </w:r>
    </w:p>
    <w:p>
      <w:pPr>
        <w:pStyle w:val="ab"/>
      </w:pPr>
      <w:r>
        <w:t>发言人1 问：How has the energy shock been managed globally and what impact has it had on China and the US?</w:t>
      </w:r>
    </w:p>
    <w:p>
      <w:r>
        <w:rPr>
          <w:rFonts w:ascii="等线(中文正文)" w:hAnsi="等线(中文正文)" w:cs="等线(中文正文)" w:eastAsia="等线(中文正文)"/>
          <w:b w:val="false"/>
          <w:i w:val="false"/>
          <w:sz w:val="20"/>
        </w:rPr>
        <w:t>发言人1 答：The energy shock has been better managed globally, with a substantial adjustment in global demand and supply balance, mainly due to China reducing its imports and the US increasing its exports. This has helped to mitigate the full impact of the energy crisis on the global economy.</w:t>
      </w:r>
    </w:p>
    <w:p>
      <w:r>
        <w:rPr>
          <w:rFonts w:ascii="等线(中文正文)" w:hAnsi="等线(中文正文)" w:cs="等线(中文正文)" w:eastAsia="等线(中文正文)"/>
          <w:b w:val="false"/>
          <w:i w:val="false"/>
          <w:sz w:val="20"/>
        </w:rPr>
        <w:t/>
      </w:r>
    </w:p>
    <w:p>
      <w:pPr>
        <w:pStyle w:val="ab"/>
      </w:pPr>
      <w:r>
        <w:t>发言人1 问：What has been the impact of China's reduction in imports and the US's increase in exports on the global oil market?</w:t>
      </w:r>
    </w:p>
    <w:p>
      <w:r>
        <w:rPr>
          <w:rFonts w:ascii="等线(中文正文)" w:hAnsi="等线(中文正文)" w:cs="等线(中文正文)" w:eastAsia="等线(中文正文)"/>
          <w:b w:val="false"/>
          <w:i w:val="false"/>
          <w:sz w:val="20"/>
        </w:rPr>
        <w:t>发言人1 答：China has cut its imports by over thirty percent, which, when combined with the US increasing its exports by around seventy percent, has effectively supported the global oil market. However, if the halt in Iranian oil exports continues, it may present a challenge to maintaining market support in the future.</w:t>
      </w:r>
    </w:p>
    <w:p>
      <w:r>
        <w:rPr>
          <w:rFonts w:ascii="等线(中文正文)" w:hAnsi="等线(中文正文)" w:cs="等线(中文正文)" w:eastAsia="等线(中文正文)"/>
          <w:b w:val="false"/>
          <w:i w:val="false"/>
          <w:sz w:val="20"/>
        </w:rPr>
        <w:t/>
      </w:r>
    </w:p>
    <w:p>
      <w:pPr>
        <w:pStyle w:val="ab"/>
      </w:pPr>
      <w:r>
        <w:t>发言人1 问：What is the overall outlook for Asian markets in the second half of the year according to the strategy document?</w:t>
      </w:r>
    </w:p>
    <w:p>
      <w:r>
        <w:rPr>
          <w:rFonts w:ascii="等线(中文正文)" w:hAnsi="等线(中文正文)" w:cs="等线(中文正文)" w:eastAsia="等线(中文正文)"/>
          <w:b w:val="false"/>
          <w:i w:val="false"/>
          <w:sz w:val="20"/>
        </w:rPr>
        <w:t>发言人1 答：The overall outlook for Asian markets in the second half of the year, as discussed in the strategy document, is described as 'constructive but not complacent.' The document features contributions on various Asian markets including China, Japan, India, and emerging markets.</w:t>
      </w:r>
    </w:p>
    <w:p>
      <w:r>
        <w:rPr>
          <w:rFonts w:ascii="等线(中文正文)" w:hAnsi="等线(中文正文)" w:cs="等线(中文正文)" w:eastAsia="等线(中文正文)"/>
          <w:b w:val="false"/>
          <w:i w:val="false"/>
          <w:sz w:val="20"/>
        </w:rPr>
        <w:t/>
      </w:r>
    </w:p>
    <w:p>
      <w:pPr>
        <w:pStyle w:val="ab"/>
      </w:pPr>
      <w:r>
        <w:t>发言人1 问：What are the updated targets for global equities as per the presentation to investors?</w:t>
      </w:r>
    </w:p>
    <w:p>
      <w:r>
        <w:rPr>
          <w:rFonts w:ascii="等线(中文正文)" w:hAnsi="等线(中文正文)" w:cs="等线(中文正文)" w:eastAsia="等线(中文正文)"/>
          <w:b w:val="false"/>
          <w:i w:val="false"/>
          <w:sz w:val="20"/>
        </w:rPr>
        <w:t>发言人1 答：The updated targets for global equities as per the presentation to investors are US equities at 8,300, Japanese equities at 4,300, and EM equities at 1,800. The base case scenario implies stronger targets for Japanese equities than for EM equities, with a projection of modest strengthening for EM equities over the forecast horizon.</w:t>
      </w:r>
    </w:p>
    <w:p>
      <w:r>
        <w:rPr>
          <w:rFonts w:ascii="等线(中文正文)" w:hAnsi="等线(中文正文)" w:cs="等线(中文正文)" w:eastAsia="等线(中文正文)"/>
          <w:b w:val="false"/>
          <w:i w:val="false"/>
          <w:sz w:val="20"/>
        </w:rPr>
        <w:t/>
      </w:r>
    </w:p>
    <w:p>
      <w:pPr>
        <w:pStyle w:val="ab"/>
      </w:pPr>
      <w:r>
        <w:t>发言人1 问：What are the key recommendations for investors based on the analysis of global equities?</w:t>
      </w:r>
    </w:p>
    <w:p>
      <w:r>
        <w:rPr>
          <w:rFonts w:ascii="等线(中文正文)" w:hAnsi="等线(中文正文)" w:cs="等线(中文正文)" w:eastAsia="等线(中文正文)"/>
          <w:b w:val="false"/>
          <w:i w:val="false"/>
          <w:sz w:val="20"/>
        </w:rPr>
        <w:t>发言人1 答：The key recommendations for investors, based on the analysis of global equities, focus on AI capex, disrupted and defensive names, and various sectors such as energy, materials, semiconductors, and IT memory. They are negative on traditional autos, consumer goods broadly speaking, IT services, including in India, and e-commerce.</w:t>
      </w:r>
    </w:p>
    <w:p>
      <w:r>
        <w:rPr>
          <w:rFonts w:ascii="等线(中文正文)" w:hAnsi="等线(中文正文)" w:cs="等线(中文正文)" w:eastAsia="等线(中文正文)"/>
          <w:b w:val="false"/>
          <w:i w:val="false"/>
          <w:sz w:val="20"/>
        </w:rPr>
        <w:t/>
      </w:r>
    </w:p>
    <w:p>
      <w:pPr>
        <w:pStyle w:val="ab"/>
      </w:pPr>
      <w:r>
        <w:t>发言人1 问：Which regions and sectors are recommended for investment, and which are advised against?</w:t>
      </w:r>
    </w:p>
    <w:p>
      <w:r>
        <w:rPr>
          <w:rFonts w:ascii="等线(中文正文)" w:hAnsi="等线(中文正文)" w:cs="等线(中文正文)" w:eastAsia="等线(中文正文)"/>
          <w:b w:val="false"/>
          <w:i w:val="false"/>
          <w:sz w:val="20"/>
        </w:rPr>
        <w:t>发言人1 答：For investment, the recommended regions and sectors include upstreet energy materials, a broad array of industrials, defense stocks, energy capex-related equipment, semiconductors, and the memory part of IT. Sectors to be avoided include traditional autos, consumer goods, IT services, e-commerce, and industries impacted by higher commodity prices in Japan.</w:t>
      </w:r>
    </w:p>
    <w:p>
      <w:r>
        <w:rPr>
          <w:rFonts w:ascii="等线(中文正文)" w:hAnsi="等线(中文正文)" w:cs="等线(中文正文)" w:eastAsia="等线(中文正文)"/>
          <w:b w:val="false"/>
          <w:i w:val="false"/>
          <w:sz w:val="20"/>
        </w:rPr>
        <w:t/>
      </w:r>
    </w:p>
    <w:p>
      <w:pPr>
        <w:pStyle w:val="ab"/>
      </w:pPr>
      <w:r>
        <w:t>发言人1 问：What is the general outlook for the global economy and individual regions mentioned?</w:t>
      </w:r>
    </w:p>
    <w:p>
      <w:r>
        <w:rPr>
          <w:rFonts w:ascii="等线(中文正文)" w:hAnsi="等线(中文正文)" w:cs="等线(中文正文)" w:eastAsia="等线(中文正文)"/>
          <w:b w:val="false"/>
          <w:i w:val="false"/>
          <w:sz w:val="20"/>
        </w:rPr>
        <w:t>发言人1 答：The general outlook for the global economy is positive with a strong second-half market, although not in a new secular bull market. The regions with constructive overall views are North Asia (China, Korea, and Japan), South Asia, and Australia with a preference for Brazil and certain smaller markets like Greece and Hungary. China and India are not considered to be in secular bull markets.</w:t>
      </w:r>
    </w:p>
    <w:p>
      <w:r>
        <w:rPr>
          <w:rFonts w:ascii="等线(中文正文)" w:hAnsi="等线(中文正文)" w:cs="等线(中文正文)" w:eastAsia="等线(中文正文)"/>
          <w:b w:val="false"/>
          <w:i w:val="false"/>
          <w:sz w:val="20"/>
        </w:rPr>
        <w:t/>
      </w:r>
    </w:p>
    <w:p>
      <w:pPr>
        <w:pStyle w:val="ab"/>
      </w:pPr>
      <w:r>
        <w:t>发言人1 问：How does the earnings outlook compare to valuations for global equities?</w:t>
      </w:r>
    </w:p>
    <w:p>
      <w:r>
        <w:rPr>
          <w:rFonts w:ascii="等线(中文正文)" w:hAnsi="等线(中文正文)" w:cs="等线(中文正文)" w:eastAsia="等线(中文正文)"/>
          <w:b w:val="false"/>
          <w:i w:val="false"/>
          <w:sz w:val="20"/>
        </w:rPr>
        <w:t>发言人1 答：The earnings outlook for global equities is strong, with consensus earnings growth expectations of around forty percent for IT and fifty-one percent for global equities. However, further out in the modeling, there is a tendency to fade below consensus earnings, with a stronger likelihood for emerging markets (EM) than for Japan. Valuations have remained relatively stable, with multiples close to targets, indicating that earnings have been the primary focus for the year.</w:t>
      </w:r>
    </w:p>
    <w:p>
      <w:r>
        <w:rPr>
          <w:rFonts w:ascii="等线(中文正文)" w:hAnsi="等线(中文正文)" w:cs="等线(中文正文)" w:eastAsia="等线(中文正文)"/>
          <w:b w:val="false"/>
          <w:i w:val="false"/>
          <w:sz w:val="20"/>
        </w:rPr>
        <w:t/>
      </w:r>
    </w:p>
    <w:p>
      <w:pPr>
        <w:pStyle w:val="ab"/>
      </w:pPr>
      <w:r>
        <w:t>发言人1 问：What are the recent trends in Korea's equity markets?</w:t>
      </w:r>
    </w:p>
    <w:p>
      <w:r>
        <w:rPr>
          <w:rFonts w:ascii="等线(中文正文)" w:hAnsi="等线(中文正文)" w:cs="等线(中文正文)" w:eastAsia="等线(中文正文)"/>
          <w:b w:val="false"/>
          <w:i w:val="false"/>
          <w:sz w:val="20"/>
        </w:rPr>
        <w:t>发言人1 答：Korea's equity markets have shown significant growth, with an 80% rise seen today, in addition to a 76% rise last year. The expected growth for the rest of the year is another 88%.</w:t>
      </w:r>
    </w:p>
    <w:p>
      <w:r>
        <w:rPr>
          <w:rFonts w:ascii="等线(中文正文)" w:hAnsi="等线(中文正文)" w:cs="等线(中文正文)" w:eastAsia="等线(中文正文)"/>
          <w:b w:val="false"/>
          <w:i w:val="false"/>
          <w:sz w:val="20"/>
        </w:rPr>
        <w:t/>
      </w:r>
    </w:p>
    <w:p>
      <w:pPr>
        <w:pStyle w:val="ab"/>
      </w:pPr>
      <w:r>
        <w:t>发言人1 问：What factors are contributing to the economic growth in Korea?</w:t>
      </w:r>
    </w:p>
    <w:p>
      <w:r>
        <w:rPr>
          <w:rFonts w:ascii="等线(中文正文)" w:hAnsi="等线(中文正文)" w:cs="等线(中文正文)" w:eastAsia="等线(中文正文)"/>
          <w:b w:val="false"/>
          <w:i w:val="false"/>
          <w:sz w:val="20"/>
        </w:rPr>
        <w:t>发言人1 答：Better growth numbers are being driven by consumption in Korea, which has been a weak part of the economy but is now showing signs of improvement. There's also an increase in net wealth effect and travel, which is contributing to the economic growth.</w:t>
      </w:r>
    </w:p>
    <w:p>
      <w:r>
        <w:rPr>
          <w:rFonts w:ascii="等线(中文正文)" w:hAnsi="等线(中文正文)" w:cs="等线(中文正文)" w:eastAsia="等线(中文正文)"/>
          <w:b w:val="false"/>
          <w:i w:val="false"/>
          <w:sz w:val="20"/>
        </w:rPr>
        <w:t/>
      </w:r>
    </w:p>
    <w:p>
      <w:pPr>
        <w:pStyle w:val="ab"/>
      </w:pPr>
      <w:r>
        <w:t>发言人1 问：How is the inflation outlook in Korea?</w:t>
      </w:r>
    </w:p>
    <w:p>
      <w:r>
        <w:rPr>
          <w:rFonts w:ascii="等线(中文正文)" w:hAnsi="等线(中文正文)" w:cs="等线(中文正文)" w:eastAsia="等线(中文正文)"/>
          <w:b w:val="false"/>
          <w:i w:val="false"/>
          <w:sz w:val="20"/>
        </w:rPr>
        <w:t>发言人1 答：Inflation in Korea is expected to pick up, with the consumer price index forecasted to increase by around 0.5% to 2.5%. The Bank of Korea is expected to continue hiking interest rates.</w:t>
      </w:r>
    </w:p>
    <w:p>
      <w:r>
        <w:rPr>
          <w:rFonts w:ascii="等线(中文正文)" w:hAnsi="等线(中文正文)" w:cs="等线(中文正文)" w:eastAsia="等线(中文正文)"/>
          <w:b w:val="false"/>
          <w:i w:val="false"/>
          <w:sz w:val="20"/>
        </w:rPr>
        <w:t/>
      </w:r>
    </w:p>
    <w:p>
      <w:pPr>
        <w:pStyle w:val="ab"/>
      </w:pPr>
      <w:r>
        <w:t>发言人1 问：What is the forecast for the BOK's interest rates?</w:t>
      </w:r>
    </w:p>
    <w:p>
      <w:r>
        <w:rPr>
          <w:rFonts w:ascii="等线(中文正文)" w:hAnsi="等线(中文正文)" w:cs="等线(中文正文)" w:eastAsia="等线(中文正文)"/>
          <w:b w:val="false"/>
          <w:i w:val="false"/>
          <w:sz w:val="20"/>
        </w:rPr>
        <w:t>发言人1 答：The forecast for BOK's interest rates is for a hiking phase, with the potential for a range of 3.0% to 3.5% by the first half of next year.</w:t>
      </w:r>
    </w:p>
    <w:p>
      <w:r>
        <w:rPr>
          <w:rFonts w:ascii="等线(中文正文)" w:hAnsi="等线(中文正文)" w:cs="等线(中文正文)" w:eastAsia="等线(中文正文)"/>
          <w:b w:val="false"/>
          <w:i w:val="false"/>
          <w:sz w:val="20"/>
        </w:rPr>
        <w:t/>
      </w:r>
    </w:p>
    <w:p>
      <w:pPr>
        <w:pStyle w:val="ab"/>
      </w:pPr>
      <w:r>
        <w:t>发言人1 问：What is significant about the current state of Korea's economic cycle indicator?</w:t>
      </w:r>
    </w:p>
    <w:p>
      <w:r>
        <w:rPr>
          <w:rFonts w:ascii="等线(中文正文)" w:hAnsi="等线(中文正文)" w:cs="等线(中文正文)" w:eastAsia="等线(中文正文)"/>
          <w:b w:val="false"/>
          <w:i w:val="false"/>
          <w:sz w:val="20"/>
        </w:rPr>
        <w:t>发言人1 答：The current state of Korea's economic cycle indicator is significant as it has moved up to the expansion phase for the first time in 20 years, which is an encouraging trend for the market and for meeting target cost goals.</w:t>
      </w:r>
    </w:p>
    <w:p>
      <w:r>
        <w:rPr>
          <w:rFonts w:ascii="等线(中文正文)" w:hAnsi="等线(中文正文)" w:cs="等线(中文正文)" w:eastAsia="等线(中文正文)"/>
          <w:b w:val="false"/>
          <w:i w:val="false"/>
          <w:sz w:val="20"/>
        </w:rPr>
        <w:t/>
      </w:r>
    </w:p>
    <w:p>
      <w:pPr>
        <w:pStyle w:val="ab"/>
      </w:pPr>
      <w:r>
        <w:t>发言人1 问：What was the reason for the previously held view on the strength of earnings change in the second half of the year?</w:t>
      </w:r>
    </w:p>
    <w:p>
      <w:r>
        <w:rPr>
          <w:rFonts w:ascii="等线(中文正文)" w:hAnsi="等线(中文正文)" w:cs="等线(中文正文)" w:eastAsia="等线(中文正文)"/>
          <w:b w:val="false"/>
          <w:i w:val="false"/>
          <w:sz w:val="20"/>
        </w:rPr>
        <w:t>发言人1 答：The previously held view on the strength of earnings change in the second half of the year was that the rate of change in consent earnings would not be as strong as seen in the first half, due to a positive tax story. This view is subject to change as the tax story plays out.</w:t>
      </w:r>
    </w:p>
    <w:p>
      <w:r>
        <w:rPr>
          <w:rFonts w:ascii="等线(中文正文)" w:hAnsi="等线(中文正文)" w:cs="等线(中文正文)" w:eastAsia="等线(中文正文)"/>
          <w:b w:val="false"/>
          <w:i w:val="false"/>
          <w:sz w:val="20"/>
        </w:rPr>
        <w:t/>
      </w:r>
    </w:p>
    <w:p>
      <w:pPr>
        <w:pStyle w:val="ab"/>
      </w:pPr>
      <w:r>
        <w:t>发言人1 问：Which sectors are expected to be important for Korea's economy, and what has been added to the focus list?</w:t>
      </w:r>
    </w:p>
    <w:p>
      <w:r>
        <w:rPr>
          <w:rFonts w:ascii="等线(中文正文)" w:hAnsi="等线(中文正文)" w:cs="等线(中文正文)" w:eastAsia="等线(中文正文)"/>
          <w:b w:val="false"/>
          <w:i w:val="false"/>
          <w:sz w:val="20"/>
        </w:rPr>
        <w:t>发言人1 答：For Korea's economy, the focus sectors are industrial tech, autos, healthcare, and banks, with a particular emphasis on defensive positioning. SK Square has been added to the focus list as a proxy for the Hang Seng index, and NC (now known as NHN Entertainment), a gaming company, has been added as a defensive pick.</w:t>
      </w:r>
    </w:p>
    <w:p>
      <w:r>
        <w:rPr>
          <w:rFonts w:ascii="等线(中文正文)" w:hAnsi="等线(中文正文)" w:cs="等线(中文正文)" w:eastAsia="等线(中文正文)"/>
          <w:b w:val="false"/>
          <w:i w:val="false"/>
          <w:sz w:val="20"/>
        </w:rPr>
        <w:t/>
      </w:r>
    </w:p>
    <w:p>
      <w:pPr>
        <w:pStyle w:val="ab"/>
      </w:pPr>
      <w:r>
        <w:t>发言人1 问：What are the current market trends related to memory and AI?</w:t>
      </w:r>
    </w:p>
    <w:p>
      <w:r>
        <w:rPr>
          <w:rFonts w:ascii="等线(中文正文)" w:hAnsi="等线(中文正文)" w:cs="等线(中文正文)" w:eastAsia="等线(中文正文)"/>
          <w:b w:val="false"/>
          <w:i w:val="false"/>
          <w:sz w:val="20"/>
        </w:rPr>
        <w:t>发言人1 答：Current market trends related to memory and AI include data centers being delayed, increased financing discussions, and computing demand being driven up by AI, agents, and ACPU and memory forecasts. The long-term agreements' pricing structure is key, as it may affect the duration of the cycle.</w:t>
      </w:r>
    </w:p>
    <w:p>
      <w:r>
        <w:rPr>
          <w:rFonts w:ascii="等线(中文正文)" w:hAnsi="等线(中文正文)" w:cs="等线(中文正文)" w:eastAsia="等线(中文正文)"/>
          <w:b w:val="false"/>
          <w:i w:val="false"/>
          <w:sz w:val="20"/>
        </w:rPr>
        <w:t/>
      </w:r>
    </w:p>
    <w:p>
      <w:pPr>
        <w:pStyle w:val="ab"/>
      </w:pPr>
      <w:r>
        <w:t>发言人1 问：What changes have been made in the investment focus for the subsector?</w:t>
      </w:r>
    </w:p>
    <w:p>
      <w:r>
        <w:rPr>
          <w:rFonts w:ascii="等线(中文正文)" w:hAnsi="等线(中文正文)" w:cs="等线(中文正文)" w:eastAsia="等线(中文正文)"/>
          <w:b w:val="false"/>
          <w:i w:val="false"/>
          <w:sz w:val="20"/>
        </w:rPr>
        <w:t>发言人1 答：The investment focus for the subsector has been adjusted to be more positive on energy security, including power generation and nuclear sectors, and less positive on defense.</w:t>
      </w:r>
    </w:p>
    <w:p>
      <w:r>
        <w:rPr>
          <w:rFonts w:ascii="等线(中文正文)" w:hAnsi="等线(中文正文)" w:cs="等线(中文正文)" w:eastAsia="等线(中文正文)"/>
          <w:b w:val="false"/>
          <w:i w:val="false"/>
          <w:sz w:val="20"/>
        </w:rPr>
        <w:t/>
      </w:r>
    </w:p>
    <w:p>
      <w:pPr>
        <w:pStyle w:val="ab"/>
      </w:pPr>
      <w:r>
        <w:t>发言人1 问：What are the expectations regarding domestic liquidity and ETF growth?</w:t>
      </w:r>
    </w:p>
    <w:p>
      <w:r>
        <w:rPr>
          <w:rFonts w:ascii="等线(中文正文)" w:hAnsi="等线(中文正文)" w:cs="等线(中文正文)" w:eastAsia="等线(中文正文)"/>
          <w:b w:val="false"/>
          <w:i w:val="false"/>
          <w:sz w:val="20"/>
        </w:rPr>
        <w:t>发言人1 答：The expectations regarding domestic liquidity are for significant inflows with 18 trillion won of net inflows from retail investors and 15 trillion won from institutional money, much of which is going into ETFs. The ETFs have been a significant driver of this growth and have greatly impacted market liquidity.</w:t>
      </w:r>
    </w:p>
    <w:p>
      <w:r>
        <w:rPr>
          <w:rFonts w:ascii="等线(中文正文)" w:hAnsi="等线(中文正文)" w:cs="等线(中文正文)" w:eastAsia="等线(中文正文)"/>
          <w:b w:val="false"/>
          <w:i w:val="false"/>
          <w:sz w:val="20"/>
        </w:rPr>
        <w:t/>
      </w:r>
    </w:p>
    <w:p>
      <w:pPr>
        <w:pStyle w:val="ab"/>
      </w:pPr>
      <w:r>
        <w:t>发言人1 问：How is the global backdrop affecting the Asia micro space, and what is the view for the second half of 2023?</w:t>
      </w:r>
    </w:p>
    <w:p>
      <w:r>
        <w:rPr>
          <w:rFonts w:ascii="等线(中文正文)" w:hAnsi="等线(中文正文)" w:cs="等线(中文正文)" w:eastAsia="等线(中文正文)"/>
          <w:b w:val="false"/>
          <w:i w:val="false"/>
          <w:sz w:val="20"/>
        </w:rPr>
        <w:t>发言人1 答：The global backdrop is affecting the Asia micro space positively, with discussions around the dollar, global rates, and how these factors influence the region. The view for the second half of 2023 is not explicitly provided in the transcript, but the context suggests that the focus remains on positive economic trends and investment opportunities.</w:t>
      </w:r>
    </w:p>
    <w:p>
      <w:r>
        <w:rPr>
          <w:rFonts w:ascii="等线(中文正文)" w:hAnsi="等线(中文正文)" w:cs="等线(中文正文)" w:eastAsia="等线(中文正文)"/>
          <w:b w:val="false"/>
          <w:i w:val="false"/>
          <w:sz w:val="20"/>
        </w:rPr>
        <w:t/>
      </w:r>
    </w:p>
    <w:p>
      <w:pPr>
        <w:pStyle w:val="ab"/>
      </w:pPr>
      <w:r>
        <w:t>发言人1 问：What is the projected change in the dollar's strength by the end of the year?</w:t>
      </w:r>
    </w:p>
    <w:p>
      <w:r>
        <w:rPr>
          <w:rFonts w:ascii="等线(中文正文)" w:hAnsi="等线(中文正文)" w:cs="等线(中文正文)" w:eastAsia="等线(中文正文)"/>
          <w:b w:val="false"/>
          <w:i w:val="false"/>
          <w:sz w:val="20"/>
        </w:rPr>
        <w:t>发言人1 答：The projection is for moderate dollar weakness into the year, with the U.S. Dollar Index (DXY) expected to decline by about four percent to around 95 from current levels.</w:t>
      </w:r>
    </w:p>
    <w:p>
      <w:r>
        <w:rPr>
          <w:rFonts w:ascii="等线(中文正文)" w:hAnsi="等线(中文正文)" w:cs="等线(中文正文)" w:eastAsia="等线(中文正文)"/>
          <w:b w:val="false"/>
          <w:i w:val="false"/>
          <w:sz w:val="20"/>
        </w:rPr>
        <w:t/>
      </w:r>
    </w:p>
    <w:p>
      <w:pPr>
        <w:pStyle w:val="ab"/>
      </w:pPr>
      <w:r>
        <w:t>发言人1 问：What are the three fundamental factors that drive the dollar weakness?</w:t>
      </w:r>
    </w:p>
    <w:p>
      <w:r>
        <w:rPr>
          <w:rFonts w:ascii="等线(中文正文)" w:hAnsi="等线(中文正文)" w:cs="等线(中文正文)" w:eastAsia="等线(中文正文)"/>
          <w:b w:val="false"/>
          <w:i w:val="false"/>
          <w:sz w:val="20"/>
        </w:rPr>
        <w:t>发言人1 答：The three fundamental factors driving dollar weakness are: 1) a global growth moderation, 2) expected US core inflation easing, 3) oil prices gradually easing, and 4) supportive fiscal and policy factors, which are particularly good for dollar depreciation against risky currencies.</w:t>
      </w:r>
    </w:p>
    <w:p>
      <w:r>
        <w:rPr>
          <w:rFonts w:ascii="等线(中文正文)" w:hAnsi="等线(中文正文)" w:cs="等线(中文正文)" w:eastAsia="等线(中文正文)"/>
          <w:b w:val="false"/>
          <w:i w:val="false"/>
          <w:sz w:val="20"/>
        </w:rPr>
        <w:t/>
      </w:r>
    </w:p>
    <w:p>
      <w:pPr>
        <w:pStyle w:val="ab"/>
      </w:pPr>
      <w:r>
        <w:t>发言人1 问：How will interest rate differentials affect the dollar in the coming months?</w:t>
      </w:r>
    </w:p>
    <w:p>
      <w:r>
        <w:rPr>
          <w:rFonts w:ascii="等线(中文正文)" w:hAnsi="等线(中文正文)" w:cs="等线(中文正文)" w:eastAsia="等线(中文正文)"/>
          <w:b w:val="false"/>
          <w:i w:val="false"/>
          <w:sz w:val="20"/>
        </w:rPr>
        <w:t>发言人1 答：Interest rate differentials are projected to narrow in the coming months as the U.S. Federal Reserve stays on hold, while the European Central Bank and the Bank of Japan are expected to deliver rate hikes. This narrowing should help reduce the dollar's carry trade attractiveness and the costs of hedging foreign investment in dollar assets, contributing to dollar weakness.</w:t>
      </w:r>
    </w:p>
    <w:p>
      <w:r>
        <w:rPr>
          <w:rFonts w:ascii="等线(中文正文)" w:hAnsi="等线(中文正文)" w:cs="等线(中文正文)" w:eastAsia="等线(中文正文)"/>
          <w:b w:val="false"/>
          <w:i w:val="false"/>
          <w:sz w:val="20"/>
        </w:rPr>
        <w:t/>
      </w:r>
    </w:p>
    <w:p>
      <w:pPr>
        <w:pStyle w:val="ab"/>
      </w:pPr>
      <w:r>
        <w:t>发言人1 问：Why might the risk premium on the dollar rebuild, and what implication does it have?</w:t>
      </w:r>
    </w:p>
    <w:p>
      <w:r>
        <w:rPr>
          <w:rFonts w:ascii="等线(中文正文)" w:hAnsi="等线(中文正文)" w:cs="等线(中文正文)" w:eastAsia="等线(中文正文)"/>
          <w:b w:val="false"/>
          <w:i w:val="false"/>
          <w:sz w:val="20"/>
        </w:rPr>
        <w:t>发言人1 答：The risk premium on the dollar is expected to rebuild because, despite the recent rally, investors are still debating the dollar's safe status and are likely to demand a higher premium to hold dollar assets. This expected increase in the risk premium can help the dollar weaken further in line with interest rate differentials.</w:t>
      </w:r>
    </w:p>
    <w:p>
      <w:r>
        <w:rPr>
          <w:rFonts w:ascii="等线(中文正文)" w:hAnsi="等线(中文正文)" w:cs="等线(中文正文)" w:eastAsia="等线(中文正文)"/>
          <w:b w:val="false"/>
          <w:i w:val="false"/>
          <w:sz w:val="20"/>
        </w:rPr>
        <w:t/>
      </w:r>
    </w:p>
    <w:p>
      <w:pPr>
        <w:pStyle w:val="ab"/>
      </w:pPr>
      <w:r>
        <w:t>发言人1 问：Is the projected dollar weakness considered structural, and what is the outlook for next year?</w:t>
      </w:r>
    </w:p>
    <w:p>
      <w:r>
        <w:rPr>
          <w:rFonts w:ascii="等线(中文正文)" w:hAnsi="等线(中文正文)" w:cs="等线(中文正文)" w:eastAsia="等线(中文正文)"/>
          <w:b w:val="false"/>
          <w:i w:val="false"/>
          <w:sz w:val="20"/>
        </w:rPr>
        <w:t>发言人1 答：The projected dollar weakness is not considered structural; it is expected to be moderate and temporary. The dollar is anticipated to recover somewhat next year due to US growth outperforming and the upcoming presidential elections in France. Additionally, there is an expectation for some euro-negative sentiment in the currency markets as the impact of the dollar's safe status and alternative market liquidity is considered.</w:t>
      </w:r>
    </w:p>
    <w:p>
      <w:r>
        <w:rPr>
          <w:rFonts w:ascii="等线(中文正文)" w:hAnsi="等线(中文正文)" w:cs="等线(中文正文)" w:eastAsia="等线(中文正文)"/>
          <w:b w:val="false"/>
          <w:i w:val="false"/>
          <w:sz w:val="20"/>
        </w:rPr>
        <w:t/>
      </w:r>
    </w:p>
    <w:p>
      <w:pPr>
        <w:pStyle w:val="ab"/>
      </w:pPr>
      <w:r>
        <w:t>发言人1 问：Which currencies are expected to perform well and why?</w:t>
      </w:r>
    </w:p>
    <w:p>
      <w:r>
        <w:rPr>
          <w:rFonts w:ascii="等线(中文正文)" w:hAnsi="等线(中文正文)" w:cs="等线(中文正文)" w:eastAsia="等线(中文正文)"/>
          <w:b w:val="false"/>
          <w:i w:val="false"/>
          <w:sz w:val="20"/>
        </w:rPr>
        <w:t>发言人1 答：Emerging market (EM) currencies and Asian currencies, particularly the New Taiwan Dollar, Singaporean Dollar, and Philippine Peso, are expected to perform well. This is because of the carry trade demand, potential easing of oil prices, strength in the industrial cycle, and robust export numbers, especially in countries with exposure to the industrial cycle.</w:t>
      </w:r>
    </w:p>
    <w:p>
      <w:r>
        <w:rPr>
          <w:rFonts w:ascii="等线(中文正文)" w:hAnsi="等线(中文正文)" w:cs="等线(中文正文)" w:eastAsia="等线(中文正文)"/>
          <w:b w:val="false"/>
          <w:i w:val="false"/>
          <w:sz w:val="20"/>
        </w:rPr>
        <w:t/>
      </w:r>
    </w:p>
    <w:p>
      <w:pPr>
        <w:pStyle w:val="ab"/>
      </w:pPr>
      <w:r>
        <w:t>发言人1 问：How will oil prices affect currency movements, especially in the short term?</w:t>
      </w:r>
    </w:p>
    <w:p>
      <w:r>
        <w:rPr>
          <w:rFonts w:ascii="等线(中文正文)" w:hAnsi="等线(中文正文)" w:cs="等线(中文正文)" w:eastAsia="等线(中文正文)"/>
          <w:b w:val="false"/>
          <w:i w:val="false"/>
          <w:sz w:val="20"/>
        </w:rPr>
        <w:t>发言人1 答：The short-term outlook for currency movements is expected to be rangebound, largely due to the uncertainty surrounding oil prices. If oil prices can start to ease as the global reopening continues, it could lead to a recovery in Asian currencies, supported by strong export numbers from the industrial cycle.</w:t>
      </w:r>
    </w:p>
    <w:p>
      <w:r>
        <w:rPr>
          <w:rFonts w:ascii="等线(中文正文)" w:hAnsi="等线(中文正文)" w:cs="等线(中文正文)" w:eastAsia="等线(中文正文)"/>
          <w:b w:val="false"/>
          <w:i w:val="false"/>
          <w:sz w:val="20"/>
        </w:rPr>
        <w:t/>
      </w:r>
    </w:p>
    <w:p>
      <w:pPr>
        <w:pStyle w:val="ab"/>
      </w:pPr>
      <w:r>
        <w:t>发言人1 问：What is the expected movement in interest rates for the US and Asia, and which countries could underperform?</w:t>
      </w:r>
    </w:p>
    <w:p>
      <w:r>
        <w:rPr>
          <w:rFonts w:ascii="等线(中文正文)" w:hAnsi="等线(中文正文)" w:cs="等线(中文正文)" w:eastAsia="等线(中文正文)"/>
          <w:b w:val="false"/>
          <w:i w:val="false"/>
          <w:sz w:val="20"/>
        </w:rPr>
        <w:t>发言人1 答：The expectation is for US interest rates to move slightly lower into the year, with the US 10-year Treasury yield forecasted to be at 4.25 percent by year-end. For Asia, there's a divergence with a bias towards higher interest rates due to continued inflation risks from elevated oil prices, supported regional growth, and central banks moving towards hiking cycles. Countries like Korea, India, and possibly Indonesia and the Philippines could underperform because they benefit less from export strength and face pressure from current account deficits due to oil price movements.</w:t>
      </w:r>
    </w:p>
    <w:p>
      <w:r>
        <w:rPr>
          <w:rFonts w:ascii="等线(中文正文)" w:hAnsi="等线(中文正文)" w:cs="等线(中文正文)" w:eastAsia="等线(中文正文)"/>
          <w:b w:val="false"/>
          <w:i w:val="false"/>
          <w:sz w:val="20"/>
        </w:rPr>
        <w:t/>
      </w:r>
    </w:p>
    <w:p>
      <w:pPr>
        <w:pStyle w:val="ab"/>
      </w:pPr>
      <w:r>
        <w:t>发言人1 问：How is the inflation outlook assessed for Asia, especially given its exposure to gas prices?</w:t>
      </w:r>
    </w:p>
    <w:p>
      <w:r>
        <w:rPr>
          <w:rFonts w:ascii="等线(中文正文)" w:hAnsi="等线(中文正文)" w:cs="等线(中文正文)" w:eastAsia="等线(中文正文)"/>
          <w:b w:val="false"/>
          <w:i w:val="false"/>
          <w:sz w:val="20"/>
        </w:rPr>
        <w:t>发言人1 答：The inflation outlook for Asia is closely related to central banks' views and the persistence of inflation problems before the conflict. Japan, Korea, and Australia are considered somewhat hawkish, but inflation has not spiked high as expected, partly because the region's starting point of inflation is low and the burden shared by governments on consumers is minimal.</w:t>
      </w:r>
    </w:p>
    <w:p>
      <w:r>
        <w:rPr>
          <w:rFonts w:ascii="等线(中文正文)" w:hAnsi="等线(中文正文)" w:cs="等线(中文正文)" w:eastAsia="等线(中文正文)"/>
          <w:b w:val="false"/>
          <w:i w:val="false"/>
          <w:sz w:val="20"/>
        </w:rPr>
        <w:t/>
      </w:r>
    </w:p>
    <w:p>
      <w:pPr>
        <w:pStyle w:val="ab"/>
      </w:pPr>
      <w:r>
        <w:t>发言人1 问：How have central banks in the region reacted to the rise in oil prices?</w:t>
      </w:r>
    </w:p>
    <w:p>
      <w:r>
        <w:rPr>
          <w:rFonts w:ascii="等线(中文正文)" w:hAnsi="等线(中文正文)" w:cs="等线(中文正文)" w:eastAsia="等线(中文正文)"/>
          <w:b w:val="false"/>
          <w:i w:val="false"/>
          <w:sz w:val="20"/>
        </w:rPr>
        <w:t>发言人1 答：Central banks in the region have not had to respond aggressively to the rise in oil prices because the increase in oil prices has been passed onto consumers by governments to a small extent, which has helped manage inflation.</w:t>
      </w:r>
    </w:p>
    <w:p>
      <w:r>
        <w:rPr>
          <w:rFonts w:ascii="等线(中文正文)" w:hAnsi="等线(中文正文)" w:cs="等线(中文正文)" w:eastAsia="等线(中文正文)"/>
          <w:b w:val="false"/>
          <w:i w:val="false"/>
          <w:sz w:val="20"/>
        </w:rPr>
        <w:t/>
      </w:r>
    </w:p>
    <w:p>
      <w:pPr>
        <w:pStyle w:val="ab"/>
      </w:pPr>
      <w:r>
        <w:t>发言人1 问：What are the challenges faced by investors in Korea and how should they position their investments?</w:t>
      </w:r>
    </w:p>
    <w:p>
      <w:r>
        <w:rPr>
          <w:rFonts w:ascii="等线(中文正文)" w:hAnsi="等线(中文正文)" w:cs="等线(中文正文)" w:eastAsia="等线(中文正文)"/>
          <w:b w:val="false"/>
          <w:i w:val="false"/>
          <w:sz w:val="20"/>
        </w:rPr>
        <w:t>发言人1 答：Investors in Korea face challenges such as market volatility, retail flow-driven trading, and whether retail investors are shifting towards long-term procurement. The valuation and price to book ratio are important considerations, and the outlook for investment banking and management is positive, with potential for relative laggards to catch up with leading financial institutions.</w:t>
      </w:r>
    </w:p>
    <w:p>
      <w:r>
        <w:rPr>
          <w:rFonts w:ascii="等线(中文正文)" w:hAnsi="等线(中文正文)" w:cs="等线(中文正文)" w:eastAsia="等线(中文正文)"/>
          <w:b w:val="false"/>
          <w:i w:val="false"/>
          <w:sz w:val="20"/>
        </w:rPr>
        <w:t/>
      </w:r>
    </w:p>
    <w:p>
      <w:pPr>
        <w:pStyle w:val="ab"/>
      </w:pPr>
      <w:r>
        <w:t>发言人1 问：How does the performance and outlook of Korean banks factor into investment decisions?</w:t>
      </w:r>
    </w:p>
    <w:p>
      <w:r>
        <w:rPr>
          <w:rFonts w:ascii="等线(中文正文)" w:hAnsi="等线(中文正文)" w:cs="等线(中文正文)" w:eastAsia="等线(中文正文)"/>
          <w:b w:val="false"/>
          <w:i w:val="false"/>
          <w:sz w:val="20"/>
        </w:rPr>
        <w:t>发言人1 答：The performance and outlook of Korean banks are factors in investment decisions, with an emphasis on catching up with leading financial institutions and potential upside for investment banking. The banks are seen as reforming stocks and benefitting from market trading volumes. The preference is for relative laggards like Shinhan and Hana, which could outperform in terms of return ratios.</w:t>
      </w:r>
    </w:p>
    <w:p>
      <w:r>
        <w:rPr>
          <w:rFonts w:ascii="等线(中文正文)" w:hAnsi="等线(中文正文)" w:cs="等线(中文正文)" w:eastAsia="等线(中文正文)"/>
          <w:b w:val="false"/>
          <w:i w:val="false"/>
          <w:sz w:val="20"/>
        </w:rPr>
        <w:t/>
      </w:r>
    </w:p>
    <w:p>
      <w:pPr>
        <w:pStyle w:val="ab"/>
      </w:pPr>
      <w:r>
        <w:t>发言人1 问：What are the expectations for the US dollar's strength and how might it affect emerging markets?</w:t>
      </w:r>
    </w:p>
    <w:p>
      <w:r>
        <w:rPr>
          <w:rFonts w:ascii="等线(中文正文)" w:hAnsi="等线(中文正文)" w:cs="等线(中文正文)" w:eastAsia="等线(中文正文)"/>
          <w:b w:val="false"/>
          <w:i w:val="false"/>
          <w:sz w:val="20"/>
        </w:rPr>
        <w:t>发言人1 答：There is an outlook for weaker US dollar strength in the second half of 2023. A stronger dollar would affect emerging market currencies, causing them to appreciate against the dollar and potentially altering investment strategies.</w:t>
      </w:r>
    </w:p>
    <w:p>
      <w:r>
        <w:rPr>
          <w:rFonts w:ascii="等线(中文正文)" w:hAnsi="等线(中文正文)" w:cs="等线(中文正文)" w:eastAsia="等线(中文正文)"/>
          <w:b w:val="false"/>
          <w:i w:val="false"/>
          <w:sz w:val="20"/>
        </w:rPr>
        <w:t/>
      </w:r>
    </w:p>
    <w:p>
      <w:pPr>
        <w:pStyle w:val="ab"/>
      </w:pPr>
      <w:r>
        <w:t>发言人1 问：How could changes in the US interest rate or Fed policy impact the foreign exchange market and emerging market currencies?</w:t>
      </w:r>
    </w:p>
    <w:p>
      <w:r>
        <w:rPr>
          <w:rFonts w:ascii="等线(中文正文)" w:hAnsi="等线(中文正文)" w:cs="等线(中文正文)" w:eastAsia="等线(中文正文)"/>
          <w:b w:val="false"/>
          <w:i w:val="false"/>
          <w:sz w:val="20"/>
        </w:rPr>
        <w:t>发言人1 答：Changes in the US interest rate or Fed policy could impact the foreign exchange market and emerging market currencies significantly. An appreciation of the dollar and higher probability of Fed hiking rates instead of cutting could lead to a stronger US currency and affect currency movements. A stronger dollar would likely result in emerging market currencies appreciating and could lead to a reversion to more moderate dollar weakness.</w:t>
      </w:r>
    </w:p>
    <w:p>
      <w:r>
        <w:rPr>
          <w:rFonts w:ascii="等线(中文正文)" w:hAnsi="等线(中文正文)" w:cs="等线(中文正文)" w:eastAsia="等线(中文正文)"/>
          <w:b w:val="false"/>
          <w:i w:val="false"/>
          <w:sz w:val="20"/>
        </w:rPr>
        <w:t/>
      </w:r>
    </w:p>
    <w:p>
      <w:pPr>
        <w:pStyle w:val="ab"/>
      </w:pPr>
      <w:r>
        <w:t>发言人1 问：What is the economic outlook for the second half of 2026 according to Morgan Stanley's global team of economists and strategists?</w:t>
      </w:r>
    </w:p>
    <w:p>
      <w:r>
        <w:rPr>
          <w:rFonts w:ascii="等线(中文正文)" w:hAnsi="等线(中文正文)" w:cs="等线(中文正文)" w:eastAsia="等线(中文正文)"/>
          <w:b w:val="false"/>
          <w:i w:val="false"/>
          <w:sz w:val="20"/>
        </w:rPr>
        <w:t>发言人1 答：Morgan Stanley's global team of economists and strategists has published their respective outlooks for the second half of 2026, highlighting key themes and investment considerations for the markets.</w:t>
      </w:r>
    </w:p>
    <w:p>
      <w:r>
        <w:rPr>
          <w:rFonts w:ascii="等线(中文正文)" w:hAnsi="等线(中文正文)" w:cs="等线(中文正文)" w:eastAsia="等线(中文正文)"/>
          <w:b w:val="false"/>
          <w:i w:val="false"/>
          <w:sz w:val="20"/>
        </w:rPr>
        <w:t/>
      </w:r>
    </w:p>
    <w:p>
      <w:pPr>
        <w:pStyle w:val="ab"/>
      </w:pPr>
      <w:r>
        <w:t>发言人1 问：Why is there a risk associated with the potential prolonged shutdown of Iranian oil exports?</w:t>
      </w:r>
    </w:p>
    <w:p>
      <w:r>
        <w:rPr>
          <w:rFonts w:ascii="等线(中文正文)" w:hAnsi="等线(中文正文)" w:cs="等线(中文正文)" w:eastAsia="等线(中文正文)"/>
          <w:b w:val="false"/>
          <w:i w:val="false"/>
          <w:sz w:val="20"/>
        </w:rPr>
        <w:t>发言人1 答：The risk is that if the shutdown of Iranian oil exports persists, it could pose a challenge to the global oil market's stability and continuity of support going forward.</w:t>
      </w:r>
    </w:p>
    <w:p>
      <w:r>
        <w:rPr>
          <w:rFonts w:ascii="等线(中文正文)" w:hAnsi="等线(中文正文)" w:cs="等线(中文正文)" w:eastAsia="等线(中文正文)"/>
          <w:b w:val="false"/>
          <w:i w:val="false"/>
          <w:sz w:val="20"/>
        </w:rPr>
        <w:t/>
      </w:r>
    </w:p>
    <w:p>
      <w:pPr>
        <w:pStyle w:val="ab"/>
      </w:pPr>
      <w:r>
        <w:t>发言人1 问：What are the updated GDP growth expectations for Korea?</w:t>
      </w:r>
    </w:p>
    <w:p>
      <w:r>
        <w:rPr>
          <w:rFonts w:ascii="等线(中文正文)" w:hAnsi="等线(中文正文)" w:cs="等线(中文正文)" w:eastAsia="等线(中文正文)"/>
          <w:b w:val="false"/>
          <w:i w:val="false"/>
          <w:sz w:val="20"/>
        </w:rPr>
        <w:t>发言人1 答：The updated GDP growth number for Korea is 2.8% for the year, up from a previous forecast of 1.8%.</w:t>
      </w:r>
    </w:p>
    <w:p>
      <w:r>
        <w:rPr>
          <w:rFonts w:ascii="等线(中文正文)" w:hAnsi="等线(中文正文)" w:cs="等线(中文正文)" w:eastAsia="等线(中文正文)"/>
          <w:b w:val="false"/>
          <w:i w:val="false"/>
          <w:sz w:val="20"/>
        </w:rPr>
        <w:t/>
      </w:r>
    </w:p>
    <w:p>
      <w:pPr>
        <w:pStyle w:val="ab"/>
      </w:pPr>
      <w:r>
        <w:t>发言人1 问：What is the new range of expectations for the Korean stock market?</w:t>
      </w:r>
    </w:p>
    <w:p>
      <w:r>
        <w:rPr>
          <w:rFonts w:ascii="等线(中文正文)" w:hAnsi="等线(中文正文)" w:cs="等线(中文正文)" w:eastAsia="等线(中文正文)"/>
          <w:b w:val="false"/>
          <w:i w:val="false"/>
          <w:sz w:val="20"/>
        </w:rPr>
        <w:t>发言人1 答：The new range of expectations for the Korean stock market is with bull projections at 10,000 and bear projections at 6,000.</w:t>
      </w:r>
    </w:p>
    <w:p>
      <w:r>
        <w:rPr>
          <w:rFonts w:ascii="等线(中文正文)" w:hAnsi="等线(中文正文)" w:cs="等线(中文正文)" w:eastAsia="等线(中文正文)"/>
          <w:b w:val="false"/>
          <w:i w:val="false"/>
          <w:sz w:val="20"/>
        </w:rPr>
        <w:t/>
      </w:r>
    </w:p>
    <w:p>
      <w:pPr>
        <w:pStyle w:val="ab"/>
      </w:pPr>
      <w:r>
        <w:t>发言人1 问：What impact has the capital market revision and other initiatives had on the second half of the year?</w:t>
      </w:r>
    </w:p>
    <w:p>
      <w:r>
        <w:rPr>
          <w:rFonts w:ascii="等线(中文正文)" w:hAnsi="等线(中文正文)" w:cs="等线(中文正文)" w:eastAsia="等线(中文正文)"/>
          <w:b w:val="false"/>
          <w:i w:val="false"/>
          <w:sz w:val="20"/>
        </w:rPr>
        <w:t>发言人1 答：The impact of capital market revisions, market access initiatives, and the like has been a slight improvement, with expectations for a more significant pick-up in the second half of the year.</w:t>
      </w:r>
    </w:p>
    <w:p>
      <w:r>
        <w:rPr>
          <w:rFonts w:ascii="等线(中文正文)" w:hAnsi="等线(中文正文)" w:cs="等线(中文正文)" w:eastAsia="等线(中文正文)"/>
          <w:b w:val="false"/>
          <w:i w:val="false"/>
          <w:sz w:val="20"/>
        </w:rPr>
        <w:t/>
      </w:r>
    </w:p>
    <w:p>
      <w:pPr>
        <w:pStyle w:val="ab"/>
      </w:pPr>
      <w:r>
        <w:t>发言人1 问：What are the expectations for the performance of the Korean market compared to China?</w:t>
      </w:r>
    </w:p>
    <w:p>
      <w:r>
        <w:rPr>
          <w:rFonts w:ascii="等线(中文正文)" w:hAnsi="等线(中文正文)" w:cs="等线(中文正文)" w:eastAsia="等线(中文正文)"/>
          <w:b w:val="false"/>
          <w:i w:val="false"/>
          <w:sz w:val="20"/>
        </w:rPr>
        <w:t>发言人1 答：The expectation is that the Korean market can outperform the Chinese market due to a lack of fresh stimulus and significant rebalancing in China.</w:t>
      </w:r>
    </w:p>
    <w:p>
      <w:r>
        <w:rPr>
          <w:rFonts w:ascii="等线(中文正文)" w:hAnsi="等线(中文正文)" w:cs="等线(中文正文)" w:eastAsia="等线(中文正文)"/>
          <w:b w:val="false"/>
          <w:i w:val="false"/>
          <w:sz w:val="20"/>
        </w:rPr>
        <w:t/>
      </w:r>
    </w:p>
    <w:p>
      <w:pPr>
        <w:pStyle w:val="ab"/>
      </w:pPr>
      <w:r>
        <w:t>发言人1 问：What is the view on the global and Asian dollar's performance?</w:t>
      </w:r>
    </w:p>
    <w:p>
      <w:r>
        <w:rPr>
          <w:rFonts w:ascii="等线(中文正文)" w:hAnsi="等线(中文正文)" w:cs="等线(中文正文)" w:eastAsia="等线(中文正文)"/>
          <w:b w:val="false"/>
          <w:i w:val="false"/>
          <w:sz w:val="20"/>
        </w:rPr>
        <w:t>发言人1 答：The view is that the global and Asian dollar's performance will depend on future events such as central banks' outlook and political questions.</w:t>
      </w:r>
    </w:p>
    <w:p>
      <w:r>
        <w:rPr>
          <w:rFonts w:ascii="等线(中文正文)" w:hAnsi="等线(中文正文)" w:cs="等线(中文正文)" w:eastAsia="等线(中文正文)"/>
          <w:b w:val="false"/>
          <w:i w:val="false"/>
          <w:sz w:val="20"/>
        </w:rPr>
        <w:t/>
      </w:r>
    </w:p>
    <w:p>
      <w:pPr>
        <w:pStyle w:val="ab"/>
      </w:pPr>
      <w:r>
        <w:t>发言人1 问：Which central banks are considered hawkish in the region and what is their inflation stance?</w:t>
      </w:r>
    </w:p>
    <w:p>
      <w:r>
        <w:rPr>
          <w:rFonts w:ascii="等线(中文正文)" w:hAnsi="等线(中文正文)" w:cs="等线(中文正文)" w:eastAsia="等线(中文正文)"/>
          <w:b w:val="false"/>
          <w:i w:val="false"/>
          <w:sz w:val="20"/>
        </w:rPr>
        <w:t>发言人1 答：The central banks that are considered hawkish in the region are Japan, Australia, and Korea, with Korea closely following but not yet fully on the rate hiking path.</w:t>
      </w:r>
    </w:p>
    <w:p>
      <w:r>
        <w:rPr>
          <w:rFonts w:ascii="等线(中文正文)" w:hAnsi="等线(中文正文)" w:cs="等线(中文正文)" w:eastAsia="等线(中文正文)"/>
          <w:b w:val="false"/>
          <w:i w:val="false"/>
          <w:sz w:val="20"/>
        </w:rPr>
        <w:t/>
      </w:r>
    </w:p>
    <w:p>
      <w:pPr>
        <w:pStyle w:val="ab"/>
      </w:pPr>
      <w:r>
        <w:t>发言人1 问：What is the investment outlook for Japan, particularly regarding the hike in interest rates?</w:t>
      </w:r>
    </w:p>
    <w:p>
      <w:r>
        <w:rPr>
          <w:rFonts w:ascii="等线(中文正文)" w:hAnsi="等线(中文正文)" w:cs="等线(中文正文)" w:eastAsia="等线(中文正文)"/>
          <w:b w:val="false"/>
          <w:i w:val="false"/>
          <w:sz w:val="20"/>
        </w:rPr>
        <w:t>发言人1 答：The investment outlook for Japan includes a hike in interest rates in June, and the focus is on how this affects the market, especially at the sectoral level.</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2026-05-14T14:11:54Z</dcterms:created>
  <dc:creator>Apache POI</dc:creator>
</cp:coreProperties>
</file>