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传奇生物 260513_导读</w:t>
      </w:r>
    </w:p>
    <w:p>
      <w:pPr>
        <w:pStyle w:val="a0"/>
        <w:jc w:val="center"/>
      </w:pPr>
      <w:r>
        <w:t>2026年05月14日 07:51</w:t>
      </w:r>
    </w:p>
    <w:p>
      <w:pPr>
        <w:pStyle w:val="a7"/>
      </w:pPr>
      <w:r>
        <w:t>关键词</w:t>
      </w:r>
    </w:p>
    <w:p>
      <w:r>
        <w:rPr>
          <w:rFonts w:ascii="等线(中文正文)" w:hAnsi="等线(中文正文)" w:cs="等线(中文正文)" w:eastAsia="等线(中文正文)"/>
          <w:b w:val="false"/>
          <w:i w:val="false"/>
          <w:sz w:val="20"/>
        </w:rPr>
        <w:t>pipeline, growth, line, data, expansion</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在这次生物科技公司2026年第一季度的业绩讨论中，高层领导包括财务副总裁、首席执行官、首席财务官以及研发总裁参与了对话。会议首先感谢投资者的耐心，并预告了问答环节。讨论集中在公司的财务表现和未来发展战略，特别强调了CAR-T细胞疗法的全球销售增长，特别是在美国市场的成功。公司也提及了在制造优化方面的进展，旨在提高生产效率和降低成本。财务表现方面，尽管面临一次性开支，但公司仍预计能实现盈利，显示出强大的财务状况和投资能力，支持其商业增长和研发管线的开发。讨论还涵盖了产品管线、商业化策略、财务表现及未来规划的详细问题解答，凸显了公司在细胞治疗领域的领导地位和对创新及治疗效果提升的承诺。</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首季财务报告与问答会</w:t>
      </w:r>
    </w:p>
    <w:p>
      <w:r>
        <w:rPr>
          <w:rFonts w:ascii="等线(中文正文)" w:hAnsi="等线(中文正文)" w:cs="等线(中文正文)" w:eastAsia="等线(中文正文)"/>
          <w:b w:val="false"/>
          <w:i w:val="false"/>
          <w:sz w:val="20"/>
        </w:rPr>
        <w:t>会议围绕公司首季财务业绩展开，强调了业绩公告、财务指标调整及风险提示的重要性，并预告了问答环节，邀请投资者参与，旨在提升财务透明度与理解。</w:t>
      </w:r>
    </w:p>
    <w:p>
      <w:r>
        <w:rPr>
          <w:rFonts w:ascii="等线(中文正文)" w:hAnsi="等线(中文正文)" w:cs="等线(中文正文)" w:eastAsia="等线(中文正文)"/>
          <w:b w:val="false"/>
          <w:i w:val="false"/>
          <w:sz w:val="20"/>
        </w:rPr>
        <w:t/>
      </w:r>
    </w:p>
    <w:p>
      <w:pPr>
        <w:pStyle w:val="ab"/>
        <w:numPr>
          <w:numId w:val="2"/>
        </w:numPr>
      </w:pPr>
      <w:r>
        <w:t>02:57 传奇公司2023年第一季度业绩及管线进展</w:t>
      </w:r>
    </w:p>
    <w:p>
      <w:r>
        <w:rPr>
          <w:rFonts w:ascii="等线(中文正文)" w:hAnsi="等线(中文正文)" w:cs="等线(中文正文)" w:eastAsia="等线(中文正文)"/>
          <w:b w:val="false"/>
          <w:i w:val="false"/>
          <w:sz w:val="20"/>
        </w:rPr>
        <w:t>公司2023年第一季度全球销售额达5.97亿美元，同比增长62%，其中美国市场增长36%，国际市场增长超200%。公司正推进多项管线项目，包括Pervade的前线多发性骨髓瘤研究及下一代CAR-T疗法。同时，公司聘请六位科学顾问，强化管线研发指导，财务稳健，致力于长期价值创造。</w:t>
      </w:r>
    </w:p>
    <w:p>
      <w:r>
        <w:rPr>
          <w:rFonts w:ascii="等线(中文正文)" w:hAnsi="等线(中文正文)" w:cs="等线(中文正文)" w:eastAsia="等线(中文正文)"/>
          <w:b w:val="false"/>
          <w:i w:val="false"/>
          <w:sz w:val="20"/>
        </w:rPr>
        <w:t/>
      </w:r>
    </w:p>
    <w:p>
      <w:pPr>
        <w:pStyle w:val="ab"/>
        <w:numPr>
          <w:numId w:val="3"/>
        </w:numPr>
      </w:pPr>
      <w:r>
        <w:t>07:15 卡迪夫商业表现与制造优化</w:t>
      </w:r>
    </w:p>
    <w:p>
      <w:r>
        <w:rPr>
          <w:rFonts w:ascii="等线(中文正文)" w:hAnsi="等线(中文正文)" w:cs="等线(中文正文)" w:eastAsia="等线(中文正文)"/>
          <w:b w:val="false"/>
          <w:i w:val="false"/>
          <w:sz w:val="20"/>
        </w:rPr>
        <w:t>卡迪夫商业表现强劲，全球需求稳定，特别是美国市场增长显著。制造方面，优化策略取得成效，实现高制造访问率和快速周转时间。患者治疗线提前，社区治疗比例上升，预示未来增长潜力，尤其是向一线治疗扩展的可能。</w:t>
      </w:r>
    </w:p>
    <w:p>
      <w:r>
        <w:rPr>
          <w:rFonts w:ascii="等线(中文正文)" w:hAnsi="等线(中文正文)" w:cs="等线(中文正文)" w:eastAsia="等线(中文正文)"/>
          <w:b w:val="false"/>
          <w:i w:val="false"/>
          <w:sz w:val="20"/>
        </w:rPr>
        <w:t/>
      </w:r>
    </w:p>
    <w:p>
      <w:pPr>
        <w:pStyle w:val="ab"/>
        <w:numPr>
          <w:numId w:val="4"/>
        </w:numPr>
      </w:pPr>
      <w:r>
        <w:t>10:13 公司财务表现与盈利预测</w:t>
      </w:r>
    </w:p>
    <w:p>
      <w:r>
        <w:rPr>
          <w:rFonts w:ascii="等线(中文正文)" w:hAnsi="等线(中文正文)" w:cs="等线(中文正文)" w:eastAsia="等线(中文正文)"/>
          <w:b w:val="false"/>
          <w:i w:val="false"/>
          <w:sz w:val="20"/>
        </w:rPr>
        <w:t>公司财务报告展现了商业增长与投资纪律，一季度收入达3.05亿美元，得益于合作项目与产品销售。尽管毛利率从57%降至41%，主要由于一次性制造成本，预计二季度毛利率将回升至50%以上。研发支出8600万美元，销售与市场费用9000万美元，反映出对平台与新项目持续投资。调整后净利润亏损收窄至1100万美元，重申2026年实现公司层面盈利目标。</w:t>
      </w:r>
    </w:p>
    <w:p>
      <w:r>
        <w:rPr>
          <w:rFonts w:ascii="等线(中文正文)" w:hAnsi="等线(中文正文)" w:cs="等线(中文正文)" w:eastAsia="等线(中文正文)"/>
          <w:b w:val="false"/>
          <w:i w:val="false"/>
          <w:sz w:val="20"/>
        </w:rPr>
        <w:t/>
      </w:r>
    </w:p>
    <w:p>
      <w:pPr>
        <w:pStyle w:val="ab"/>
        <w:numPr>
          <w:numId w:val="5"/>
        </w:numPr>
      </w:pPr>
      <w:r>
        <w:t>13:27 公司财务状况与新药研发进展</w:t>
      </w:r>
    </w:p>
    <w:p>
      <w:r>
        <w:rPr>
          <w:rFonts w:ascii="等线(中文正文)" w:hAnsi="等线(中文正文)" w:cs="等线(中文正文)" w:eastAsia="等线(中文正文)"/>
          <w:b w:val="false"/>
          <w:i w:val="false"/>
          <w:sz w:val="20"/>
        </w:rPr>
        <w:t>公司报告了稳健的财务状况，包括约8.35亿美元的现金和无长期债务，这为公司的研发管线提供了资金支持。管理层讨论了针对体内程序的最新数据披露计划，以及CAR-T细胞疗法的临床试验设计和预期结果。他们强调了数据披露的时间节点、安全性管理和疗效期望，展示了对长期增长的信心。</w:t>
      </w:r>
    </w:p>
    <w:p>
      <w:r>
        <w:rPr>
          <w:rFonts w:ascii="等线(中文正文)" w:hAnsi="等线(中文正文)" w:cs="等线(中文正文)" w:eastAsia="等线(中文正文)"/>
          <w:b w:val="false"/>
          <w:i w:val="false"/>
          <w:sz w:val="20"/>
        </w:rPr>
        <w:t/>
      </w:r>
    </w:p>
    <w:p>
      <w:pPr>
        <w:pStyle w:val="ab"/>
        <w:numPr>
          <w:numId w:val="6"/>
        </w:numPr>
      </w:pPr>
      <w:r>
        <w:t>19:06 商业策略与技术进展讨论</w:t>
      </w:r>
    </w:p>
    <w:p>
      <w:r>
        <w:rPr>
          <w:rFonts w:ascii="等线(中文正文)" w:hAnsi="等线(中文正文)" w:cs="等线(中文正文)" w:eastAsia="等线(中文正文)"/>
          <w:b w:val="false"/>
          <w:i w:val="false"/>
          <w:sz w:val="20"/>
        </w:rPr>
        <w:t>对话围绕企业业务结构变化、市场竞争、产品毛利率影响因素及未来展望展开，同时探讨了在商业早期阶段的竞争优势和市场潜力，以及体内CAR-T技术的潜在变革影响。</w:t>
      </w:r>
    </w:p>
    <w:p>
      <w:r>
        <w:rPr>
          <w:rFonts w:ascii="等线(中文正文)" w:hAnsi="等线(中文正文)" w:cs="等线(中文正文)" w:eastAsia="等线(中文正文)"/>
          <w:b w:val="false"/>
          <w:i w:val="false"/>
          <w:sz w:val="20"/>
        </w:rPr>
        <w:t/>
      </w:r>
    </w:p>
    <w:p>
      <w:pPr>
        <w:pStyle w:val="ab"/>
        <w:numPr>
          <w:numId w:val="7"/>
        </w:numPr>
      </w:pPr>
      <w:r>
        <w:t>25:13 关于药物研发与市场拓展的讨论</w:t>
      </w:r>
    </w:p>
    <w:p>
      <w:r>
        <w:rPr>
          <w:rFonts w:ascii="等线(中文正文)" w:hAnsi="等线(中文正文)" w:cs="等线(中文正文)" w:eastAsia="等线(中文正文)"/>
          <w:b w:val="false"/>
          <w:i w:val="false"/>
          <w:sz w:val="20"/>
        </w:rPr>
        <w:t>会议讨论了药物研发进度、临床试验计划以及市场拓展策略。涉及ABM卡的日期与时间调整、ABCNA试验范围、社区医疗中心应用、以及财务指导调整。强调了药物研发的合作与创新，市场策略的实施情况，以及财务报告的准确性与透明度。</w:t>
      </w:r>
    </w:p>
    <w:p>
      <w:r>
        <w:rPr>
          <w:rFonts w:ascii="等线(中文正文)" w:hAnsi="等线(中文正文)" w:cs="等线(中文正文)" w:eastAsia="等线(中文正文)"/>
          <w:b w:val="false"/>
          <w:i w:val="false"/>
          <w:sz w:val="20"/>
        </w:rPr>
        <w:t/>
      </w:r>
    </w:p>
    <w:p>
      <w:pPr>
        <w:pStyle w:val="ab"/>
        <w:numPr>
          <w:numId w:val="8"/>
        </w:numPr>
      </w:pPr>
      <w:r>
        <w:t>32:29 医疗项目进展与安全讨论</w:t>
      </w:r>
    </w:p>
    <w:p>
      <w:r>
        <w:rPr>
          <w:rFonts w:ascii="等线(中文正文)" w:hAnsi="等线(中文正文)" w:cs="等线(中文正文)" w:eastAsia="等线(中文正文)"/>
          <w:b w:val="false"/>
          <w:i w:val="false"/>
          <w:sz w:val="20"/>
        </w:rPr>
        <w:t>对话围绕医疗项目的进展、安全性及未来预测展开。讨论了患者资格、治疗效果比较、安全机制设计以及市场增长预期。强调了对治疗效果的信心，以及对安全性和市场表现的积极展望。</w:t>
      </w:r>
    </w:p>
    <w:p>
      <w:r>
        <w:rPr>
          <w:rFonts w:ascii="等线(中文正文)" w:hAnsi="等线(中文正文)" w:cs="等线(中文正文)" w:eastAsia="等线(中文正文)"/>
          <w:b w:val="false"/>
          <w:i w:val="false"/>
          <w:sz w:val="20"/>
        </w:rPr>
        <w:t/>
      </w:r>
    </w:p>
    <w:p>
      <w:pPr>
        <w:pStyle w:val="ab"/>
        <w:numPr>
          <w:numId w:val="9"/>
        </w:numPr>
      </w:pPr>
      <w:r>
        <w:t>37:59 生物医药公司讨论产品进展与市场预期</w:t>
      </w:r>
    </w:p>
    <w:p>
      <w:r>
        <w:rPr>
          <w:rFonts w:ascii="等线(中文正文)" w:hAnsi="等线(中文正文)" w:cs="等线(中文正文)" w:eastAsia="等线(中文正文)"/>
          <w:b w:val="false"/>
          <w:i w:val="false"/>
          <w:sz w:val="20"/>
        </w:rPr>
        <w:t>会议中，讨论了生物医药产品在不同阶段的表现，包括对目标抗原的双重靶向策略及其临床数据的预期。提到的产品进展包括LB25/1920项目，以及对BCMA的治疗策略，强调了订单增长和市场潜力。公司表示，将继续关注产品进展，并期待在未来的行业会议上分享更多成果。</w:t>
      </w:r>
    </w:p>
    <w:p>
      <w:r>
        <w:rPr>
          <w:rFonts w:ascii="等线(中文正文)" w:hAnsi="等线(中文正文)" w:cs="等线(中文正文)" w:eastAsia="等线(中文正文)"/>
          <w:b w:val="false"/>
          <w:i w:val="false"/>
          <w:sz w:val="20"/>
        </w:rPr>
        <w:t/>
      </w:r>
    </w:p>
    <w:p>
      <w:pPr>
        <w:pStyle w:val="a7"/>
      </w:pPr>
      <w:r>
        <w:t>发言总结</w:t>
      </w:r>
    </w:p>
    <w:p>
      <w:pPr>
        <w:pStyle w:val="ab"/>
        <w:numPr>
          <w:numId w:val="10"/>
        </w:numPr>
      </w:pPr>
      <w:r>
        <w:t>发言人1</w:t>
      </w:r>
    </w:p>
    <w:p>
      <w:r>
        <w:rPr>
          <w:rFonts w:ascii="等线(中文正文)" w:hAnsi="等线(中文正文)" w:cs="等线(中文正文)" w:eastAsia="等线(中文正文)"/>
          <w:b w:val="false"/>
          <w:i w:val="false"/>
          <w:sz w:val="20"/>
        </w:rPr>
        <w:t>他首先讨论了快速汽车变体在不同流程中的应用及其对成本的影响，特别提到了一次性合作费用的重要性，若无此费用，公司可实现盈利。他还谈及了GPFD项目中使用同种粘合剂进行测试的情况，以及如何评估患者对设计的反应。他强调了社区采纳策略的重要性，包括与学院合作和在社区网络中建立信任，还提到将增设更多诊所以加强社区连接。此外，他详细说明了CAR-T疗法的安全性、与同类产品的比较，以及公司产品在安全性和疗效上的显著优势，同时展望了未来的产品发展和市场表现。
在回顾公司2026年第一季度的财务表现时，他指出业绩增长显著，特别是在美国市场的36%增长和全球市场超过200%的增长。他们强调了公司财务策略的重要性，包括调整后的净利润、财务纪律以及对投资的重视，同时提到通过优化制造流程和扩展管道来提高盈利能力。他还提到了与Johnson and Johnson的合作，以及公司对一线疗法中使用CAR-T疗法的积极展望。此外，他介绍了在治疗领域具有潜力的多个新疗法，以及公司如何通过科学顾问的指导和临床试验来推进研究和开发工作。</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问：What new financial measure was introduced and what is its purpose?</w:t>
      </w:r>
    </w:p>
    <w:p>
      <w:r>
        <w:rPr>
          <w:rFonts w:ascii="等线(中文正文)" w:hAnsi="等线(中文正文)" w:cs="等线(中文正文)" w:eastAsia="等线(中文正文)"/>
          <w:b w:val="false"/>
          <w:i w:val="false"/>
          <w:sz w:val="20"/>
        </w:rPr>
        <w:t>发言人1 答：A new financial measure, adjusted net loss, was introduced. This measure is used to provide investors with an understanding of the company's financial performance and is particularly useful for gauging operating performance from period to period. The adjustment is intended to help management and investors evaluate performance and anticipate future gains or losses.</w:t>
      </w:r>
    </w:p>
    <w:p>
      <w:r>
        <w:rPr>
          <w:rFonts w:ascii="等线(中文正文)" w:hAnsi="等线(中文正文)" w:cs="等线(中文正文)" w:eastAsia="等线(中文正文)"/>
          <w:b w:val="false"/>
          <w:i w:val="false"/>
          <w:sz w:val="20"/>
        </w:rPr>
        <w:t/>
      </w:r>
    </w:p>
    <w:p>
      <w:pPr>
        <w:pStyle w:val="ab"/>
      </w:pPr>
      <w:r>
        <w:t>发言人1 问：What are the key performance indicators reviewed in the first quarter of 2026?</w:t>
      </w:r>
    </w:p>
    <w:p>
      <w:r>
        <w:rPr>
          <w:rFonts w:ascii="等线(中文正文)" w:hAnsi="等线(中文正文)" w:cs="等线(中文正文)" w:eastAsia="等线(中文正文)"/>
          <w:b w:val="false"/>
          <w:i w:val="false"/>
          <w:sz w:val="20"/>
        </w:rPr>
        <w:t>发言人1 答：The key performance indicators reviewed in the first quarter of 2026 include the company's revenue of $597 million, representing 62% growth compared to the first quarter of 2025. This growth was driven by a 36% increase in the US and more than 200% growth from S. U. S. sales. The performance reflects strong demand in early line settings, consistent global execution, and the continued shift of the market towards earlier use of cell therapy.</w:t>
      </w:r>
    </w:p>
    <w:p>
      <w:r>
        <w:rPr>
          <w:rFonts w:ascii="等线(中文正文)" w:hAnsi="等线(中文正文)" w:cs="等线(中文正文)" w:eastAsia="等线(中文正文)"/>
          <w:b w:val="false"/>
          <w:i w:val="false"/>
          <w:sz w:val="20"/>
        </w:rPr>
        <w:t/>
      </w:r>
    </w:p>
    <w:p>
      <w:pPr>
        <w:pStyle w:val="ab"/>
      </w:pPr>
      <w:r>
        <w:t>发言人1 问：Who are the new scientific advisors and what is their role?</w:t>
      </w:r>
    </w:p>
    <w:p>
      <w:r>
        <w:rPr>
          <w:rFonts w:ascii="等线(中文正文)" w:hAnsi="等线(中文正文)" w:cs="等线(中文正文)" w:eastAsia="等线(中文正文)"/>
          <w:b w:val="false"/>
          <w:i w:val="false"/>
          <w:sz w:val="20"/>
        </w:rPr>
        <w:t>发言人1 答：The new scientific advisors are Stephen Fiscella, Carole J. June, Maximo Golling, Colin T. Panten, and George Shaw. They bring deep expertise across oncology and specifically in cellular therapies. Their role is to provide input and advice to guide the company's clinical trials and research, particularly in the context of translational research and pipeline development.</w:t>
      </w:r>
    </w:p>
    <w:p>
      <w:r>
        <w:rPr>
          <w:rFonts w:ascii="等线(中文正文)" w:hAnsi="等线(中文正文)" w:cs="等线(中文正文)" w:eastAsia="等线(中文正文)"/>
          <w:b w:val="false"/>
          <w:i w:val="false"/>
          <w:sz w:val="20"/>
        </w:rPr>
        <w:t/>
      </w:r>
    </w:p>
    <w:p>
      <w:pPr>
        <w:pStyle w:val="ab"/>
      </w:pPr>
      <w:r>
        <w:t>发言人1 问：What pivotal studies are being conducted and what are they designed to assess?</w:t>
      </w:r>
    </w:p>
    <w:p>
      <w:r>
        <w:rPr>
          <w:rFonts w:ascii="等线(中文正文)" w:hAnsi="等线(中文正文)" w:cs="等线(中文正文)" w:eastAsia="等线(中文正文)"/>
          <w:b w:val="false"/>
          <w:i w:val="false"/>
          <w:sz w:val="20"/>
        </w:rPr>
        <w:t>发言人1 答：Pivotal studies called 'cardio five' and 'cardio six' are being conducted. These are designed to assess the efficacy of the company's cell therapy product in the first-line treatment of multiple myeloma following its label expansion in early 2022. These studies are critical for advancing the product through the pipeline and gaining regulatory approval.</w:t>
      </w:r>
    </w:p>
    <w:p>
      <w:r>
        <w:rPr>
          <w:rFonts w:ascii="等线(中文正文)" w:hAnsi="等线(中文正文)" w:cs="等线(中文正文)" w:eastAsia="等线(中文正文)"/>
          <w:b w:val="false"/>
          <w:i w:val="false"/>
          <w:sz w:val="20"/>
        </w:rPr>
        <w:t/>
      </w:r>
    </w:p>
    <w:p>
      <w:pPr>
        <w:pStyle w:val="ab"/>
      </w:pPr>
      <w:r>
        <w:t>发言人1 问：What expectations are set for 2026 in terms of research programs and financial performance?</w:t>
      </w:r>
    </w:p>
    <w:p>
      <w:r>
        <w:rPr>
          <w:rFonts w:ascii="等线(中文正文)" w:hAnsi="等线(中文正文)" w:cs="等线(中文正文)" w:eastAsia="等线(中文正文)"/>
          <w:b w:val="false"/>
          <w:i w:val="false"/>
          <w:sz w:val="20"/>
        </w:rPr>
        <w:t>发言人1 答：In 2026, the company expects to report initial data from its B, C, M, A, and CMA programs in the first quarter. The financial expectation for the year is to maintain a focus on profitability while investing in priorities, which includes having a durable value proposition for patients and shareholders. The company also anticipates continued growth in commercial performance, manufacturing optimization, and a shift in patient treatment lines.</w:t>
      </w:r>
    </w:p>
    <w:p>
      <w:r>
        <w:rPr>
          <w:rFonts w:ascii="等线(中文正文)" w:hAnsi="等线(中文正文)" w:cs="等线(中文正文)" w:eastAsia="等线(中文正文)"/>
          <w:b w:val="false"/>
          <w:i w:val="false"/>
          <w:sz w:val="20"/>
        </w:rPr>
        <w:t/>
      </w:r>
    </w:p>
    <w:p>
      <w:pPr>
        <w:pStyle w:val="ab"/>
      </w:pPr>
      <w:r>
        <w:t>发言人1 问：How is the company's commercial performance described and what geographic trends are present?</w:t>
      </w:r>
    </w:p>
    <w:p>
      <w:r>
        <w:rPr>
          <w:rFonts w:ascii="等线(中文正文)" w:hAnsi="等线(中文正文)" w:cs="等线(中文正文)" w:eastAsia="等线(中文正文)"/>
          <w:b w:val="false"/>
          <w:i w:val="false"/>
          <w:sz w:val="20"/>
        </w:rPr>
        <w:t>发言人1 答：The company's commercial performance is described as another quarter of sequential growth, reflecting continued share gain and strong side productivity. Demand is supported by continued uptake and established presence in the market, as well as contributions from recent acquisitions. Geographically, the company has a strong foothold in the US and international markets, with demand remaining healthy across major geographies and supported by a global footprint and consistent manufacturing execution.</w:t>
      </w:r>
    </w:p>
    <w:p>
      <w:r>
        <w:rPr>
          <w:rFonts w:ascii="等线(中文正文)" w:hAnsi="等线(中文正文)" w:cs="等线(中文正文)" w:eastAsia="等线(中文正文)"/>
          <w:b w:val="false"/>
          <w:i w:val="false"/>
          <w:sz w:val="20"/>
        </w:rPr>
        <w:t/>
      </w:r>
    </w:p>
    <w:p>
      <w:pPr>
        <w:pStyle w:val="ab"/>
      </w:pPr>
      <w:r>
        <w:t>发言人1 问：What is the significance of the early line setting growth and what does it indicate about the company's future?</w:t>
      </w:r>
    </w:p>
    <w:p>
      <w:r>
        <w:rPr>
          <w:rFonts w:ascii="等线(中文正文)" w:hAnsi="等线(中文正文)" w:cs="等线(中文正文)" w:eastAsia="等线(中文正文)"/>
          <w:b w:val="false"/>
          <w:i w:val="false"/>
          <w:sz w:val="20"/>
        </w:rPr>
        <w:t>发言人1 答：The growth in early line settings is significant as it indicates an increasing market share and confidence in the company's cell therapy product. The data reflects the ability to support this shift at scale, especially with nearly eighty percent of patients being treated in the community setting. The company expects this trend to continue and be a major driver of future growth, particularly as it advances towards a potential label expansion into the first line setting.</w:t>
      </w:r>
    </w:p>
    <w:p>
      <w:r>
        <w:rPr>
          <w:rFonts w:ascii="等线(中文正文)" w:hAnsi="等线(中文正文)" w:cs="等线(中文正文)" w:eastAsia="等线(中文正文)"/>
          <w:b w:val="false"/>
          <w:i w:val="false"/>
          <w:sz w:val="20"/>
        </w:rPr>
        <w:t/>
      </w:r>
    </w:p>
    <w:p>
      <w:pPr>
        <w:pStyle w:val="ab"/>
      </w:pPr>
      <w:r>
        <w:t>发言人1 问：What are the financial performance highlights for the current quarter?</w:t>
      </w:r>
    </w:p>
    <w:p>
      <w:r>
        <w:rPr>
          <w:rFonts w:ascii="等线(中文正文)" w:hAnsi="等线(中文正文)" w:cs="等线(中文正文)" w:eastAsia="等线(中文正文)"/>
          <w:b w:val="false"/>
          <w:i w:val="false"/>
          <w:sz w:val="20"/>
        </w:rPr>
        <w:t>发言人1 答：The financial performance highlights for the current quarter include continued commercial growth and disciplined investment, with revenue scaling and profitability metrics improving steadily over time.</w:t>
      </w:r>
    </w:p>
    <w:p>
      <w:r>
        <w:rPr>
          <w:rFonts w:ascii="等线(中文正文)" w:hAnsi="等线(中文正文)" w:cs="等线(中文正文)" w:eastAsia="等线(中文正文)"/>
          <w:b w:val="false"/>
          <w:i w:val="false"/>
          <w:sz w:val="20"/>
        </w:rPr>
        <w:t/>
      </w:r>
    </w:p>
    <w:p>
      <w:pPr>
        <w:pStyle w:val="ab"/>
      </w:pPr>
      <w:r>
        <w:t>发言人1 问：What factors led to the decline in gross margin from the fourth quarter?</w:t>
      </w:r>
    </w:p>
    <w:p>
      <w:r>
        <w:rPr>
          <w:rFonts w:ascii="等线(中文正文)" w:hAnsi="等线(中文正文)" w:cs="等线(中文正文)" w:eastAsia="等线(中文正文)"/>
          <w:b w:val="false"/>
          <w:i w:val="false"/>
          <w:sz w:val="20"/>
        </w:rPr>
        <w:t>发言人1 答：The decline in gross margin from the fourth quarter was primarily due to one-time expenses associated with ramping up manufacturing in the newly expanded section of a recent site and the ongoing tackling facility expansion.</w:t>
      </w:r>
    </w:p>
    <w:p>
      <w:r>
        <w:rPr>
          <w:rFonts w:ascii="等线(中文正文)" w:hAnsi="等线(中文正文)" w:cs="等线(中文正文)" w:eastAsia="等线(中文正文)"/>
          <w:b w:val="false"/>
          <w:i w:val="false"/>
          <w:sz w:val="20"/>
        </w:rPr>
        <w:t/>
      </w:r>
    </w:p>
    <w:p>
      <w:pPr>
        <w:pStyle w:val="ab"/>
      </w:pPr>
      <w:r>
        <w:t>发言人1 问：What are the expectations for gross margin in the second quarter?</w:t>
      </w:r>
    </w:p>
    <w:p>
      <w:r>
        <w:rPr>
          <w:rFonts w:ascii="等线(中文正文)" w:hAnsi="等线(中文正文)" w:cs="等线(中文正文)" w:eastAsia="等线(中文正文)"/>
          <w:b w:val="false"/>
          <w:i w:val="false"/>
          <w:sz w:val="20"/>
        </w:rPr>
        <w:t>发言人1 答：The company expects gross margin to be back over 50% in the second quarter as the economies of scale from manufacturing investments are realized with increasing utilization.</w:t>
      </w:r>
    </w:p>
    <w:p>
      <w:r>
        <w:rPr>
          <w:rFonts w:ascii="等线(中文正文)" w:hAnsi="等线(中文正文)" w:cs="等线(中文正文)" w:eastAsia="等线(中文正文)"/>
          <w:b w:val="false"/>
          <w:i w:val="false"/>
          <w:sz w:val="20"/>
        </w:rPr>
        <w:t/>
      </w:r>
    </w:p>
    <w:p>
      <w:pPr>
        <w:pStyle w:val="ab"/>
      </w:pPr>
      <w:r>
        <w:t>发言人1 问：How does the company plan to reinvest the savings from reduced R&amp;D expenses?</w:t>
      </w:r>
    </w:p>
    <w:p>
      <w:r>
        <w:rPr>
          <w:rFonts w:ascii="等线(中文正文)" w:hAnsi="等线(中文正文)" w:cs="等线(中文正文)" w:eastAsia="等线(中文正文)"/>
          <w:b w:val="false"/>
          <w:i w:val="false"/>
          <w:sz w:val="20"/>
        </w:rPr>
        <w:t>发言人1 答：The company plans to reinvest the savings from reduced R&amp;D expenses into the pipeline, leveraging the benefit of reduced R&amp;D costs to fund future growth.</w:t>
      </w:r>
    </w:p>
    <w:p>
      <w:r>
        <w:rPr>
          <w:rFonts w:ascii="等线(中文正文)" w:hAnsi="等线(中文正文)" w:cs="等线(中文正文)" w:eastAsia="等线(中文正文)"/>
          <w:b w:val="false"/>
          <w:i w:val="false"/>
          <w:sz w:val="20"/>
        </w:rPr>
        <w:t/>
      </w:r>
    </w:p>
    <w:p>
      <w:pPr>
        <w:pStyle w:val="ab"/>
      </w:pPr>
      <w:r>
        <w:t>发言人1 问：What is the projected financial result for the company by 2026 on an adjusted basis?</w:t>
      </w:r>
    </w:p>
    <w:p>
      <w:r>
        <w:rPr>
          <w:rFonts w:ascii="等线(中文正文)" w:hAnsi="等线(中文正文)" w:cs="等线(中文正文)" w:eastAsia="等线(中文正文)"/>
          <w:b w:val="false"/>
          <w:i w:val="false"/>
          <w:sz w:val="20"/>
        </w:rPr>
        <w:t>发言人1 答：The projected financial result for the company by 2026 on an adjusted basis is profitability with a net loss narrowing to $11 million in Q1, and the projection for achieving company-wide profitability in 2026 on a non-GAAP basis is an adJusting net loss of $0.03 per share compared to an adjusting net loss of $0.27 per share in the same period last year.</w:t>
      </w:r>
    </w:p>
    <w:p>
      <w:r>
        <w:rPr>
          <w:rFonts w:ascii="等线(中文正文)" w:hAnsi="等线(中文正文)" w:cs="等线(中文正文)" w:eastAsia="等线(中文正文)"/>
          <w:b w:val="false"/>
          <w:i w:val="false"/>
          <w:sz w:val="20"/>
        </w:rPr>
        <w:t/>
      </w:r>
    </w:p>
    <w:p>
      <w:pPr>
        <w:pStyle w:val="ab"/>
      </w:pPr>
      <w:r>
        <w:t>发言人1 问：What is the company's current financial position and how does it plan to use its balance sheet?</w:t>
      </w:r>
    </w:p>
    <w:p>
      <w:r>
        <w:rPr>
          <w:rFonts w:ascii="等线(中文正文)" w:hAnsi="等线(中文正文)" w:cs="等线(中文正文)" w:eastAsia="等线(中文正文)"/>
          <w:b w:val="false"/>
          <w:i w:val="false"/>
          <w:sz w:val="20"/>
        </w:rPr>
        <w:t>发言人1 答：The company ended the quarter with approximately $835 million in cash, cash equivalents, and time deposits, and no long-term debt. It plans to use its strong balance sheet for flexibility to advance itspipeline, support continued profitability expansion, pursue key business opportunities, and manage modest capital expenditures related to manufacturing capacity.</w:t>
      </w:r>
    </w:p>
    <w:p>
      <w:r>
        <w:rPr>
          <w:rFonts w:ascii="等线(中文正文)" w:hAnsi="等线(中文正文)" w:cs="等线(中文正文)" w:eastAsia="等线(中文正文)"/>
          <w:b w:val="false"/>
          <w:i w:val="false"/>
          <w:sz w:val="20"/>
        </w:rPr>
        <w:t/>
      </w:r>
    </w:p>
    <w:p>
      <w:pPr>
        <w:pStyle w:val="ab"/>
      </w:pPr>
      <w:r>
        <w:t>发言人1 问：What can be expected from the in vivo program in terms of data and timing?</w:t>
      </w:r>
    </w:p>
    <w:p>
      <w:r>
        <w:rPr>
          <w:rFonts w:ascii="等线(中文正文)" w:hAnsi="等线(中文正文)" w:cs="等线(中文正文)" w:eastAsia="等线(中文正文)"/>
          <w:b w:val="false"/>
          <w:i w:val="false"/>
          <w:sz w:val="20"/>
        </w:rPr>
        <w:t>发言人1 答：While specific timing and data details cannot be disclosed without the data being officially accepted and published by major medical meetings, the company plans to potentially present the status of the first in-human patient at a major medical meeting in the near future. The amount of data disclosed will depend on patient numbers and data availability. This is the first exposure of sample data, hence it is expected that follow-up will be long-term.</w:t>
      </w:r>
    </w:p>
    <w:p>
      <w:r>
        <w:rPr>
          <w:rFonts w:ascii="等线(中文正文)" w:hAnsi="等线(中文正文)" w:cs="等线(中文正文)" w:eastAsia="等线(中文正文)"/>
          <w:b w:val="false"/>
          <w:i w:val="false"/>
          <w:sz w:val="20"/>
        </w:rPr>
        <w:t/>
      </w:r>
    </w:p>
    <w:p>
      <w:pPr>
        <w:pStyle w:val="ab"/>
      </w:pPr>
      <w:r>
        <w:t>发言人1 问：What is the nature of the ongoing clinical trial and what data is anticipated?</w:t>
      </w:r>
    </w:p>
    <w:p>
      <w:r>
        <w:rPr>
          <w:rFonts w:ascii="等线(中文正文)" w:hAnsi="等线(中文正文)" w:cs="等线(中文正文)" w:eastAsia="等线(中文正文)"/>
          <w:b w:val="false"/>
          <w:i w:val="false"/>
          <w:sz w:val="20"/>
        </w:rPr>
        <w:t>发言人1 答：The ongoing clinical trial is not the gamma delta program but a targeting city 19MC using a lentivirus vector delivery. The program is named LB2501 and is already up on a single chado. The trial design involves collecting both city and efficacy data. The specific data presentation will disclose details after the data is mature.</w:t>
      </w:r>
    </w:p>
    <w:p>
      <w:r>
        <w:rPr>
          <w:rFonts w:ascii="等线(中文正文)" w:hAnsi="等线(中文正文)" w:cs="等线(中文正文)" w:eastAsia="等线(中文正文)"/>
          <w:b w:val="false"/>
          <w:i w:val="false"/>
          <w:sz w:val="20"/>
        </w:rPr>
        <w:t/>
      </w:r>
    </w:p>
    <w:p>
      <w:pPr>
        <w:pStyle w:val="ab"/>
      </w:pPr>
      <w:r>
        <w:t>发言人1 问：What are the company's expectations for the allogeneic program?</w:t>
      </w:r>
    </w:p>
    <w:p>
      <w:r>
        <w:rPr>
          <w:rFonts w:ascii="等线(中文正文)" w:hAnsi="等线(中文正文)" w:cs="等线(中文正文)" w:eastAsia="等线(中文正文)"/>
          <w:b w:val="false"/>
          <w:i w:val="false"/>
          <w:sz w:val="20"/>
        </w:rPr>
        <w:t>发言人1 答：The company's expectation for the allogeneic program is to have manageable safety and promising efficacy, including deep response rates, as per the expectations shared.</w:t>
      </w:r>
    </w:p>
    <w:p>
      <w:r>
        <w:rPr>
          <w:rFonts w:ascii="等线(中文正文)" w:hAnsi="等线(中文正文)" w:cs="等线(中文正文)" w:eastAsia="等线(中文正文)"/>
          <w:b w:val="false"/>
          <w:i w:val="false"/>
          <w:sz w:val="20"/>
        </w:rPr>
        <w:t/>
      </w:r>
    </w:p>
    <w:p>
      <w:pPr>
        <w:pStyle w:val="ab"/>
      </w:pPr>
      <w:r>
        <w:t>发言人1 问：What does the company anticipate for the business mix in the next one to two years?</w:t>
      </w:r>
    </w:p>
    <w:p>
      <w:r>
        <w:rPr>
          <w:rFonts w:ascii="等线(中文正文)" w:hAnsi="等线(中文正文)" w:cs="等线(中文正文)" w:eastAsia="等线(中文正文)"/>
          <w:b w:val="false"/>
          <w:i w:val="false"/>
          <w:sz w:val="20"/>
        </w:rPr>
        <w:t>发言人1 答：The company anticipates having about 41% of its patients coming from early line therapy, which includes second and third line, reflecting community adoption and the efficacy of the treatments.</w:t>
      </w:r>
    </w:p>
    <w:p>
      <w:r>
        <w:rPr>
          <w:rFonts w:ascii="等线(中文正文)" w:hAnsi="等线(中文正文)" w:cs="等线(中文正文)" w:eastAsia="等线(中文正文)"/>
          <w:b w:val="false"/>
          <w:i w:val="false"/>
          <w:sz w:val="20"/>
        </w:rPr>
        <w:t/>
      </w:r>
    </w:p>
    <w:p>
      <w:pPr>
        <w:pStyle w:val="ab"/>
      </w:pPr>
      <w:r>
        <w:t>发言人1 问：What are the expectations for business growth in the upcoming quarters?</w:t>
      </w:r>
    </w:p>
    <w:p>
      <w:r>
        <w:rPr>
          <w:rFonts w:ascii="等线(中文正文)" w:hAnsi="等线(中文正文)" w:cs="等线(中文正文)" w:eastAsia="等线(中文正文)"/>
          <w:b w:val="false"/>
          <w:i w:val="false"/>
          <w:sz w:val="20"/>
        </w:rPr>
        <w:t>发言人1 答：The company expects all segments to grow over the next year or so, with the gross margin question showing a sequential decline in the first quarter due to new capacity and one-time expenses, but anticipating a return to over 50% in Q2.</w:t>
      </w:r>
    </w:p>
    <w:p>
      <w:r>
        <w:rPr>
          <w:rFonts w:ascii="等线(中文正文)" w:hAnsi="等线(中文正文)" w:cs="等线(中文正文)" w:eastAsia="等线(中文正文)"/>
          <w:b w:val="false"/>
          <w:i w:val="false"/>
          <w:sz w:val="20"/>
        </w:rPr>
        <w:t/>
      </w:r>
    </w:p>
    <w:p>
      <w:pPr>
        <w:pStyle w:val="ab"/>
      </w:pPr>
      <w:r>
        <w:t>发言人1 问：What are the prospects for growth in the IT and In Vivo Car T markets?</w:t>
      </w:r>
    </w:p>
    <w:p>
      <w:r>
        <w:rPr>
          <w:rFonts w:ascii="等线(中文正文)" w:hAnsi="等线(中文正文)" w:cs="等线(中文正文)" w:eastAsia="等线(中文正文)"/>
          <w:b w:val="false"/>
          <w:i w:val="false"/>
          <w:sz w:val="20"/>
        </w:rPr>
        <w:t>发言人1 答：The IT market is expected to continue growing, with a large and underserved market potential in the secondary space. For In Vivo Car T, the platform is seen as having transformative potential, and the company is excited about the product and its pre-platform across different diseases.</w:t>
      </w:r>
    </w:p>
    <w:p>
      <w:r>
        <w:rPr>
          <w:rFonts w:ascii="等线(中文正文)" w:hAnsi="等线(中文正文)" w:cs="等线(中文正文)" w:eastAsia="等线(中文正文)"/>
          <w:b w:val="false"/>
          <w:i w:val="false"/>
          <w:sz w:val="20"/>
        </w:rPr>
        <w:t/>
      </w:r>
    </w:p>
    <w:p>
      <w:pPr>
        <w:pStyle w:val="ab"/>
      </w:pPr>
      <w:r>
        <w:t>发言人1 问：Can you describe the competition in the IT segment and the potential market growth?</w:t>
      </w:r>
    </w:p>
    <w:p>
      <w:r>
        <w:rPr>
          <w:rFonts w:ascii="等线(中文正文)" w:hAnsi="等线(中文正文)" w:cs="等线(中文正文)" w:eastAsia="等线(中文正文)"/>
          <w:b w:val="false"/>
          <w:i w:val="false"/>
          <w:sz w:val="20"/>
        </w:rPr>
        <w:t>发言人1 答：In the IT segment, the market is large with only about 5% of the 140,000 potential customers having adopted ABC MA. This indicates a significant potential for multiple options in the earlier line and suggests the market is severely underserved with important welfare implications.</w:t>
      </w:r>
    </w:p>
    <w:p>
      <w:r>
        <w:rPr>
          <w:rFonts w:ascii="等线(中文正文)" w:hAnsi="等线(中文正文)" w:cs="等线(中文正文)" w:eastAsia="等线(中文正文)"/>
          <w:b w:val="false"/>
          <w:i w:val="false"/>
          <w:sz w:val="20"/>
        </w:rPr>
        <w:t/>
      </w:r>
    </w:p>
    <w:p>
      <w:pPr>
        <w:pStyle w:val="ab"/>
      </w:pPr>
      <w:r>
        <w:t>发言人1 问：What is the outlook for B cell maturation antibodies (BCMA) and the In Vivo Car T program?</w:t>
      </w:r>
    </w:p>
    <w:p>
      <w:r>
        <w:rPr>
          <w:rFonts w:ascii="等线(中文正文)" w:hAnsi="等线(中文正文)" w:cs="等线(中文正文)" w:eastAsia="等线(中文正文)"/>
          <w:b w:val="false"/>
          <w:i w:val="false"/>
          <w:sz w:val="20"/>
        </w:rPr>
        <w:t>发言人1 答：BCMA is a top target within the B cell maturation antibodies space and is considered an important disease area. The company is working on a collaboration with Johnson and Johnson for B, C, M, A directed therapies. The company is also initiating another trial for a similar concept in other diseases, which will be announced once the design is confirmed.</w:t>
      </w:r>
    </w:p>
    <w:p>
      <w:r>
        <w:rPr>
          <w:rFonts w:ascii="等线(中文正文)" w:hAnsi="等线(中文正文)" w:cs="等线(中文正文)" w:eastAsia="等线(中文正文)"/>
          <w:b w:val="false"/>
          <w:i w:val="false"/>
          <w:sz w:val="20"/>
        </w:rPr>
        <w:t/>
      </w:r>
    </w:p>
    <w:p>
      <w:pPr>
        <w:pStyle w:val="ab"/>
      </w:pPr>
      <w:r>
        <w:t>发言人1 问：What is the impact of adjusting financial guidance, and what does 'ADJUSTING income' represent?</w:t>
      </w:r>
    </w:p>
    <w:p>
      <w:r>
        <w:rPr>
          <w:rFonts w:ascii="等线(中文正文)" w:hAnsi="等线(中文正文)" w:cs="等线(中文正文)" w:eastAsia="等线(中文正文)"/>
          <w:b w:val="false"/>
          <w:i w:val="false"/>
          <w:sz w:val="20"/>
        </w:rPr>
        <w:t>发言人1 答：The company adjusted the financial guidance due to expectations of profitability. 'ADJUSTING income' is defined as a more accurate reflection of profitability and financial performance, excluding certain non-cash items that are not representative of core business operations.</w:t>
      </w:r>
    </w:p>
    <w:p>
      <w:r>
        <w:rPr>
          <w:rFonts w:ascii="等线(中文正文)" w:hAnsi="等线(中文正文)" w:cs="等线(中文正文)" w:eastAsia="等线(中文正文)"/>
          <w:b w:val="false"/>
          <w:i w:val="false"/>
          <w:sz w:val="20"/>
        </w:rPr>
        <w:t/>
      </w:r>
    </w:p>
    <w:p>
      <w:pPr>
        <w:pStyle w:val="ab"/>
      </w:pPr>
      <w:r>
        <w:t>发言人1 问：Is the $44 million differential between the two matrices an ongoing issue?</w:t>
      </w:r>
    </w:p>
    <w:p>
      <w:r>
        <w:rPr>
          <w:rFonts w:ascii="等线(中文正文)" w:hAnsi="等线(中文正文)" w:cs="等线(中文正文)" w:eastAsia="等线(中文正文)"/>
          <w:b w:val="false"/>
          <w:i w:val="false"/>
          <w:sz w:val="20"/>
        </w:rPr>
        <w:t>发言人1 答：Yes, the $44 million differential is an ongoing issue as the company continues to exclude certain non-cash items, such as share-based compensation, depreciation, and other expenses, which are not indicative of the core business operations.</w:t>
      </w:r>
    </w:p>
    <w:p>
      <w:r>
        <w:rPr>
          <w:rFonts w:ascii="等线(中文正文)" w:hAnsi="等线(中文正文)" w:cs="等线(中文正文)" w:eastAsia="等线(中文正文)"/>
          <w:b w:val="false"/>
          <w:i w:val="false"/>
          <w:sz w:val="20"/>
        </w:rPr>
        <w:t/>
      </w:r>
    </w:p>
    <w:p>
      <w:pPr>
        <w:pStyle w:val="ab"/>
      </w:pPr>
      <w:r>
        <w:t>发言人1 问：What are the components of community adoption discussed in the speech?</w:t>
      </w:r>
    </w:p>
    <w:p>
      <w:r>
        <w:rPr>
          <w:rFonts w:ascii="等线(中文正文)" w:hAnsi="等线(中文正文)" w:cs="等线(中文正文)" w:eastAsia="等线(中文正文)"/>
          <w:b w:val="false"/>
          <w:i w:val="false"/>
          <w:sz w:val="20"/>
        </w:rPr>
        <w:t>发言人1 答：The components of community adoption mentioned in the speech include the integration with community networks, positive responses from competitions in various sites, and the addition of new sites online each year. Another part of community adoption is patient feedback and the expansion of the business as more sites come online. There is also mention of the administration of the test and the comfort of political stakeholders with test manager finance.</w:t>
      </w:r>
    </w:p>
    <w:p>
      <w:r>
        <w:rPr>
          <w:rFonts w:ascii="等线(中文正文)" w:hAnsi="等线(中文正文)" w:cs="等线(中文正文)" w:eastAsia="等线(中文正文)"/>
          <w:b w:val="false"/>
          <w:i w:val="false"/>
          <w:sz w:val="20"/>
        </w:rPr>
        <w:t/>
      </w:r>
    </w:p>
    <w:p>
      <w:pPr>
        <w:pStyle w:val="ab"/>
      </w:pPr>
      <w:r>
        <w:t>发言人1 问：How are the new sites expected to perform in terms of setting up infrastructure?</w:t>
      </w:r>
    </w:p>
    <w:p>
      <w:r>
        <w:rPr>
          <w:rFonts w:ascii="等线(中文正文)" w:hAnsi="等线(中文正文)" w:cs="等线(中文正文)" w:eastAsia="等线(中文正文)"/>
          <w:b w:val="false"/>
          <w:i w:val="false"/>
          <w:sz w:val="20"/>
        </w:rPr>
        <w:t>发言人1 答：The new sites are expected to be well set up with a proper infrastructure, and this expectation is based on the positive experience from similar sites that have come online each year. The performance of these new sites is anticipated to be beneficial for patients by bringing them closer to home and their settings.</w:t>
      </w:r>
    </w:p>
    <w:p>
      <w:r>
        <w:rPr>
          <w:rFonts w:ascii="等线(中文正文)" w:hAnsi="等线(中文正文)" w:cs="等线(中文正文)" w:eastAsia="等线(中文正文)"/>
          <w:b w:val="false"/>
          <w:i w:val="false"/>
          <w:sz w:val="20"/>
        </w:rPr>
        <w:t/>
      </w:r>
    </w:p>
    <w:p>
      <w:pPr>
        <w:pStyle w:val="ab"/>
      </w:pPr>
      <w:r>
        <w:t>发言人1 问：What is the plan for community adoption mentioned in the speech?</w:t>
      </w:r>
    </w:p>
    <w:p>
      <w:r>
        <w:rPr>
          <w:rFonts w:ascii="等线(中文正文)" w:hAnsi="等线(中文正文)" w:cs="等线(中文正文)" w:eastAsia="等线(中文正文)"/>
          <w:b w:val="false"/>
          <w:i w:val="false"/>
          <w:sz w:val="20"/>
        </w:rPr>
        <w:t>发言人1 答：The plan for community adoption involves expanding the number of community clinics, which is indicated by the mention of new sites being added in the US. This strategy allows for closer access to patients and their settings, thereby enhancing the overall community adoption experience.</w:t>
      </w:r>
    </w:p>
    <w:p>
      <w:r>
        <w:rPr>
          <w:rFonts w:ascii="等线(中文正文)" w:hAnsi="等线(中文正文)" w:cs="等线(中文正文)" w:eastAsia="等线(中文正文)"/>
          <w:b w:val="false"/>
          <w:i w:val="false"/>
          <w:sz w:val="20"/>
        </w:rPr>
        <w:t/>
      </w:r>
    </w:p>
    <w:p>
      <w:pPr>
        <w:pStyle w:val="ab"/>
      </w:pPr>
      <w:r>
        <w:t>发言人1 问：How is the company framing the gradual zone in the front line for transplants?</w:t>
      </w:r>
    </w:p>
    <w:p>
      <w:r>
        <w:rPr>
          <w:rFonts w:ascii="等线(中文正文)" w:hAnsi="等线(中文正文)" w:cs="等线(中文正文)" w:eastAsia="等线(中文正文)"/>
          <w:b w:val="false"/>
          <w:i w:val="false"/>
          <w:sz w:val="20"/>
        </w:rPr>
        <w:t>发言人1 答：The company is framing the gradual zone in the front line for transplants in a way that is not fully detailed in the transcript, but it is implied that the transplant process is being made accessible and efficient for the patient population.</w:t>
      </w:r>
    </w:p>
    <w:p>
      <w:r>
        <w:rPr>
          <w:rFonts w:ascii="等线(中文正文)" w:hAnsi="等线(中文正文)" w:cs="等线(中文正文)" w:eastAsia="等线(中文正文)"/>
          <w:b w:val="false"/>
          <w:i w:val="false"/>
          <w:sz w:val="20"/>
        </w:rPr>
        <w:t/>
      </w:r>
    </w:p>
    <w:p>
      <w:pPr>
        <w:pStyle w:val="ab"/>
      </w:pPr>
      <w:r>
        <w:t>发言人1 问：What data is anticipated to be presented regarding the new platform?</w:t>
      </w:r>
    </w:p>
    <w:p>
      <w:r>
        <w:rPr>
          <w:rFonts w:ascii="等线(中文正文)" w:hAnsi="等线(中文正文)" w:cs="等线(中文正文)" w:eastAsia="等线(中文正文)"/>
          <w:b w:val="false"/>
          <w:i w:val="false"/>
          <w:sz w:val="20"/>
        </w:rPr>
        <w:t>发言人1 答：While specific data are not mentioned, it is anticipated that data regarding the new platform will be presented at a future time. CD is mentioned as a key prime time focus area with front gago in the design phase and unique design mechanisms in the manufacturing process.</w:t>
      </w:r>
    </w:p>
    <w:p>
      <w:r>
        <w:rPr>
          <w:rFonts w:ascii="等线(中文正文)" w:hAnsi="等线(中文正文)" w:cs="等线(中文正文)" w:eastAsia="等线(中文正文)"/>
          <w:b w:val="false"/>
          <w:i w:val="false"/>
          <w:sz w:val="20"/>
        </w:rPr>
        <w:t/>
      </w:r>
    </w:p>
    <w:p>
      <w:pPr>
        <w:pStyle w:val="ab"/>
      </w:pPr>
      <w:r>
        <w:t>发言人1 问：How is the patient booking process progressing through the quarter and beyond?</w:t>
      </w:r>
    </w:p>
    <w:p>
      <w:r>
        <w:rPr>
          <w:rFonts w:ascii="等线(中文正文)" w:hAnsi="等线(中文正文)" w:cs="等线(中文正文)" w:eastAsia="等线(中文正文)"/>
          <w:b w:val="false"/>
          <w:i w:val="false"/>
          <w:sz w:val="20"/>
        </w:rPr>
        <w:t>发言人1 答：The patient booking process is experiencing strong growth indicated by the performance in March, followed by a strong April, and continuing into early May. There is a mention of an increase in appointments and patients getting scheduled, leading to a highly confident expectation of quarter-on-quarter growth in the US and globally.</w:t>
      </w:r>
    </w:p>
    <w:p>
      <w:r>
        <w:rPr>
          <w:rFonts w:ascii="等线(中文正文)" w:hAnsi="等线(中文正文)" w:cs="等线(中文正文)" w:eastAsia="等线(中文正文)"/>
          <w:b w:val="false"/>
          <w:i w:val="false"/>
          <w:sz w:val="20"/>
        </w:rPr>
        <w:t/>
      </w:r>
    </w:p>
    <w:p>
      <w:pPr>
        <w:pStyle w:val="ab"/>
      </w:pPr>
      <w:r>
        <w:t>发言人1 问：How is the current order flow expected to perform in the future?</w:t>
      </w:r>
    </w:p>
    <w:p>
      <w:r>
        <w:rPr>
          <w:rFonts w:ascii="等线(中文正文)" w:hAnsi="等线(中文正文)" w:cs="等线(中文正文)" w:eastAsia="等线(中文正文)"/>
          <w:b w:val="false"/>
          <w:i w:val="false"/>
          <w:sz w:val="20"/>
        </w:rPr>
        <w:t>发言人1 答：The current order flow is anticipated to continue to show strong performance as the court of gas and imagines grow. The company expects this to result in growth, particularly in the earlier line setting where more patients are being gained.</w:t>
      </w:r>
    </w:p>
    <w:p>
      <w:r>
        <w:rPr>
          <w:rFonts w:ascii="等线(中文正文)" w:hAnsi="等线(中文正文)" w:cs="等线(中文正文)" w:eastAsia="等线(中文正文)"/>
          <w:b w:val="false"/>
          <w:i w:val="false"/>
          <w:sz w:val="20"/>
        </w:rPr>
        <w:t/>
      </w:r>
    </w:p>
    <w:p>
      <w:pPr>
        <w:pStyle w:val="ab"/>
      </w:pPr>
      <w:r>
        <w:t>发言人1 问：What is the design process of the typhon platform and the virus engineer virus?</w:t>
      </w:r>
    </w:p>
    <w:p>
      <w:r>
        <w:rPr>
          <w:rFonts w:ascii="等线(中文正文)" w:hAnsi="等线(中文正文)" w:cs="等线(中文正文)" w:eastAsia="等线(中文正文)"/>
          <w:b w:val="false"/>
          <w:i w:val="false"/>
          <w:sz w:val="20"/>
        </w:rPr>
        <w:t>发言人1 答：The design process of the typhon platform involves class mutations on the virus itself, which causes the virus to not recognize a sector. A virus engineer virus is also mentioned, highlighting an internal discovery and optimization of the CD3 bind for each CD, which is differentiated from other players in the space that use an existing TCR.</w:t>
      </w:r>
    </w:p>
    <w:p>
      <w:r>
        <w:rPr>
          <w:rFonts w:ascii="等线(中文正文)" w:hAnsi="等线(中文正文)" w:cs="等线(中文正文)" w:eastAsia="等线(中文正文)"/>
          <w:b w:val="false"/>
          <w:i w:val="false"/>
          <w:sz w:val="20"/>
        </w:rPr>
        <w:t/>
      </w:r>
    </w:p>
    <w:p>
      <w:pPr>
        <w:pStyle w:val="ab"/>
      </w:pPr>
      <w:r>
        <w:t>发言人1 问：What is the perspective on the connection bar for the L251 program?</w:t>
      </w:r>
    </w:p>
    <w:p>
      <w:r>
        <w:rPr>
          <w:rFonts w:ascii="等线(中文正文)" w:hAnsi="等线(中文正文)" w:cs="等线(中文正文)" w:eastAsia="等线(中文正文)"/>
          <w:b w:val="false"/>
          <w:i w:val="false"/>
          <w:sz w:val="20"/>
        </w:rPr>
        <w:t>发言人1 答：The perspective on the connection bar for the L251 program is positive, with the belief that the new company can provide a bend over the monopoly. The data on the L251 program is compared with CD19 and CD20 data, showing promise in targeting B cells. Although specific data are not disclosed, the company is confident in the data evolution and is looking forward to feedback and disclosure.</w:t>
      </w:r>
    </w:p>
    <w:p>
      <w:r>
        <w:rPr>
          <w:rFonts w:ascii="等线(中文正文)" w:hAnsi="等线(中文正文)" w:cs="等线(中文正文)" w:eastAsia="等线(中文正文)"/>
          <w:b w:val="false"/>
          <w:i w:val="false"/>
          <w:sz w:val="20"/>
        </w:rPr>
        <w:t/>
      </w:r>
    </w:p>
    <w:p>
      <w:pPr>
        <w:pStyle w:val="ab"/>
      </w:pPr>
      <w:r>
        <w:t>发言人1 问：What is the anticipated financial outlook for the company by 2026?</w:t>
      </w:r>
    </w:p>
    <w:p>
      <w:r>
        <w:rPr>
          <w:rFonts w:ascii="等线(中文正文)" w:hAnsi="等线(中文正文)" w:cs="等线(中文正文)" w:eastAsia="等线(中文正文)"/>
          <w:b w:val="false"/>
          <w:i w:val="false"/>
          <w:sz w:val="20"/>
        </w:rPr>
        <w:t>发言人1 答：The company anticipates widespread profitability on an adjusted basis by 2026, with continued margin improvements from ongoing expense discipline.</w:t>
      </w:r>
    </w:p>
    <w:p>
      <w:r>
        <w:rPr>
          <w:rFonts w:ascii="等线(中文正文)" w:hAnsi="等线(中文正文)" w:cs="等线(中文正文)" w:eastAsia="等线(中文正文)"/>
          <w:b w:val="false"/>
          <w:i w:val="false"/>
          <w:sz w:val="20"/>
        </w:rPr>
        <w:t/>
      </w:r>
    </w:p>
    <w:p>
      <w:pPr>
        <w:pStyle w:val="ab"/>
      </w:pPr>
      <w:r>
        <w:t>发言人1 问：What drove the collaboration revenue in the first quarter?</w:t>
      </w:r>
    </w:p>
    <w:p>
      <w:r>
        <w:rPr>
          <w:rFonts w:ascii="等线(中文正文)" w:hAnsi="等线(中文正文)" w:cs="等线(中文正文)" w:eastAsia="等线(中文正文)"/>
          <w:b w:val="false"/>
          <w:i w:val="false"/>
          <w:sz w:val="20"/>
        </w:rPr>
        <w:t>发言人1 答：Collaboration revenue in the first quarter was primarily driven by sales performance under the company's collaboration with Johnson and Johnson license.</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2026-05-13T23:57:12Z</dcterms:created>
  <dc:creator>Apache POI</dc:creator>
</cp:coreProperties>
</file>