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中国算力基础设施行业发展趋势 260512_导读</w:t>
      </w:r>
    </w:p>
    <w:p>
      <w:pPr>
        <w:pStyle w:val="a0"/>
        <w:jc w:val="center"/>
      </w:pPr>
      <w:r>
        <w:t>2026年05月14日 07:51</w:t>
      </w:r>
    </w:p>
    <w:p>
      <w:pPr>
        <w:pStyle w:val="a7"/>
      </w:pPr>
      <w:r>
        <w:t>关键词</w:t>
      </w:r>
    </w:p>
    <w:p>
      <w:r>
        <w:rPr>
          <w:rFonts w:ascii="等线(中文正文)" w:hAnsi="等线(中文正文)" w:cs="等线(中文正文)" w:eastAsia="等线(中文正文)"/>
          <w:b w:val="false"/>
          <w:i w:val="false"/>
          <w:sz w:val="20"/>
        </w:rPr>
        <w:t xml:space="preserve">算力基础设施 数字经济 东数西算 智能算力 国家战略 大模型 政策驱动 产业链 液冷技术 绿电 芯片 服务器 光模块 数据中心 云计算 AI推理 算力网络 算力调度 算力租赁 边缘算力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中国算力基础设施行业经历了从信息化配套到规模化发展，再到国家战略级布局的三个阶段，展现出从分散到集约、单一到多元协同的发展态势。其成长动力源自国家战略的深化、技术的不断进步、安全与创新需求的提升，以及对能效的严格要求。财务表现分析揭示，高研发投入是企业成长的核心驱动力，国产化与绿色化被视为未来发展的重要方向。未来展望中，算力行业预计将构建多层级覆盖体系，智能算力将占据主导地位，同时推进绿色化与集约化发展，并积极探索太空算力等前沿领域。总体而言，中国算力行业在“十五五”期间有望实现规模领先、架构创新、绿色低碳与自主可控的全面突破。</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十五五远景：中国算力基础设施行业发展趋势</w:t>
      </w:r>
    </w:p>
    <w:p>
      <w:r>
        <w:rPr>
          <w:rFonts w:ascii="等线(中文正文)" w:hAnsi="等线(中文正文)" w:cs="等线(中文正文)" w:eastAsia="等线(中文正文)"/>
          <w:b w:val="false"/>
          <w:i w:val="false"/>
          <w:sz w:val="20"/>
        </w:rPr>
        <w:t>对话围绕中国算力基础设施行业的发展现状、驱动因素、财务表现及十五五远景展望展开。通过行业现状剖析、关键驱动因素分析、样本企业财务透视及未来展望，共同勾勒出中国算力基础设施行业的发展蓝图，强调算力作为数字经济时代新生产力的重要性及其对国家综合实力的衡量作用。</w:t>
      </w:r>
    </w:p>
    <w:p>
      <w:r>
        <w:rPr>
          <w:rFonts w:ascii="等线(中文正文)" w:hAnsi="等线(中文正文)" w:cs="等线(中文正文)" w:eastAsia="等线(中文正文)"/>
          <w:b w:val="false"/>
          <w:i w:val="false"/>
          <w:sz w:val="20"/>
        </w:rPr>
        <w:t/>
      </w:r>
    </w:p>
    <w:p>
      <w:pPr>
        <w:pStyle w:val="ab"/>
        <w:numPr>
          <w:numId w:val="2"/>
        </w:numPr>
      </w:pPr>
      <w:r>
        <w:t>02:33 中国算力基础设施行业发展与分类体系</w:t>
      </w:r>
    </w:p>
    <w:p>
      <w:r>
        <w:rPr>
          <w:rFonts w:ascii="等线(中文正文)" w:hAnsi="等线(中文正文)" w:cs="等线(中文正文)" w:eastAsia="等线(中文正文)"/>
          <w:b w:val="false"/>
          <w:i w:val="false"/>
          <w:sz w:val="20"/>
        </w:rPr>
        <w:t>中国算力基础设施行业历经信息化配套、规模化发展及国家战略级布局三个阶段，从IDC到公有云服务爆发，再到东数西算与大模型技术驱动的多元协同转型。行业分类体系复杂，涵盖通用算力、智算、超算等，彰显其作为数字经济核心底座的战略地位。</w:t>
      </w:r>
    </w:p>
    <w:p>
      <w:r>
        <w:rPr>
          <w:rFonts w:ascii="等线(中文正文)" w:hAnsi="等线(中文正文)" w:cs="等线(中文正文)" w:eastAsia="等线(中文正文)"/>
          <w:b w:val="false"/>
          <w:i w:val="false"/>
          <w:sz w:val="20"/>
        </w:rPr>
        <w:t/>
      </w:r>
    </w:p>
    <w:p>
      <w:pPr>
        <w:pStyle w:val="ab"/>
        <w:numPr>
          <w:numId w:val="3"/>
        </w:numPr>
      </w:pPr>
      <w:r>
        <w:t>05:08 算力行业全景解析：从产业链到应用场景</w:t>
      </w:r>
    </w:p>
    <w:p>
      <w:r>
        <w:rPr>
          <w:rFonts w:ascii="等线(中文正文)" w:hAnsi="等线(中文正文)" w:cs="等线(中文正文)" w:eastAsia="等线(中文正文)"/>
          <w:b w:val="false"/>
          <w:i w:val="false"/>
          <w:sz w:val="20"/>
        </w:rPr>
        <w:t>对话深入探讨了算力行业的细分类型，包括通用算力、智能算力和超级算力，以及它们在不同场景中的应用。从产业链角度看，算力行业分为硬件设施、网络设施、配套设施和服务与应用场景四大环节，其中芯片和服务器是核心，网络设施确保数据传输效率，配套设施保障稳定运行，服务与应用场景则是算力价值的最终体现。政策体系方面，算力行业受到国家战略引领，通过部委细则推进和地方精准落地，形成产业链协同攻坚，推动国产算力的系统性升级。</w:t>
      </w:r>
    </w:p>
    <w:p>
      <w:r>
        <w:rPr>
          <w:rFonts w:ascii="等线(中文正文)" w:hAnsi="等线(中文正文)" w:cs="等线(中文正文)" w:eastAsia="等线(中文正文)"/>
          <w:b w:val="false"/>
          <w:i w:val="false"/>
          <w:sz w:val="20"/>
        </w:rPr>
        <w:t/>
      </w:r>
    </w:p>
    <w:p>
      <w:pPr>
        <w:pStyle w:val="ab"/>
        <w:numPr>
          <w:numId w:val="4"/>
        </w:numPr>
      </w:pPr>
      <w:r>
        <w:t>10:28 算力行业政策导向与增长趋势分析</w:t>
      </w:r>
    </w:p>
    <w:p>
      <w:r>
        <w:rPr>
          <w:rFonts w:ascii="等线(中文正文)" w:hAnsi="等线(中文正文)" w:cs="等线(中文正文)" w:eastAsia="等线(中文正文)"/>
          <w:b w:val="false"/>
          <w:i w:val="false"/>
          <w:sz w:val="20"/>
        </w:rPr>
        <w:t>从2022年至今，国家政策逐步引导算力行业从建设转向应用与管理，布局东数西算，智能算力成核心增长点，预计2029年市场规模近万亿，行业处于爆发期。</w:t>
      </w:r>
    </w:p>
    <w:p>
      <w:r>
        <w:rPr>
          <w:rFonts w:ascii="等线(中文正文)" w:hAnsi="等线(中文正文)" w:cs="等线(中文正文)" w:eastAsia="等线(中文正文)"/>
          <w:b w:val="false"/>
          <w:i w:val="false"/>
          <w:sz w:val="20"/>
        </w:rPr>
        <w:t/>
      </w:r>
    </w:p>
    <w:p>
      <w:pPr>
        <w:pStyle w:val="ab"/>
        <w:numPr>
          <w:numId w:val="5"/>
        </w:numPr>
      </w:pPr>
      <w:r>
        <w:t>14:19 算力行业高速发展的关键驱动因素</w:t>
      </w:r>
    </w:p>
    <w:p>
      <w:r>
        <w:rPr>
          <w:rFonts w:ascii="等线(中文正文)" w:hAnsi="等线(中文正文)" w:cs="等线(中文正文)" w:eastAsia="等线(中文正文)"/>
          <w:b w:val="false"/>
          <w:i w:val="false"/>
          <w:sz w:val="20"/>
        </w:rPr>
        <w:t>算力行业高速发展由国家战略深化、技术质变、行业渗透、安全创新与能效指标硬约束共同推动。国家战略转向资源优化配置，技术革新满足智能算力需求，行业融合加深，安全可控技术加速发展，能效标准提升环保与竞争力。</w:t>
      </w:r>
    </w:p>
    <w:p>
      <w:r>
        <w:rPr>
          <w:rFonts w:ascii="等线(中文正文)" w:hAnsi="等线(中文正文)" w:cs="等线(中文正文)" w:eastAsia="等线(中文正文)"/>
          <w:b w:val="false"/>
          <w:i w:val="false"/>
          <w:sz w:val="20"/>
        </w:rPr>
        <w:t/>
      </w:r>
    </w:p>
    <w:p>
      <w:pPr>
        <w:pStyle w:val="ab"/>
        <w:numPr>
          <w:numId w:val="6"/>
        </w:numPr>
      </w:pPr>
      <w:r>
        <w:t>18:23 算力行业财务表现与研发投入分析</w:t>
      </w:r>
    </w:p>
    <w:p>
      <w:r>
        <w:rPr>
          <w:rFonts w:ascii="等线(中文正文)" w:hAnsi="等线(中文正文)" w:cs="等线(中文正文)" w:eastAsia="等线(中文正文)"/>
          <w:b w:val="false"/>
          <w:i w:val="false"/>
          <w:sz w:val="20"/>
        </w:rPr>
        <w:t>通过对38家算力基础设施行业样本企业的财务数据分析，揭示了行业内的结构化分化特征。三大运营商在规模上占据主导，而光通信和国产芯片厂商展现出高成长性。高研发投入驱动了公司成长，尤其是寒武纪、海光等企业，通过技术迭代抢占市场先机，实现远超市场平均水平的增长。</w:t>
      </w:r>
    </w:p>
    <w:p>
      <w:r>
        <w:rPr>
          <w:rFonts w:ascii="等线(中文正文)" w:hAnsi="等线(中文正文)" w:cs="等线(中文正文)" w:eastAsia="等线(中文正文)"/>
          <w:b w:val="false"/>
          <w:i w:val="false"/>
          <w:sz w:val="20"/>
        </w:rPr>
        <w:t/>
      </w:r>
    </w:p>
    <w:p>
      <w:pPr>
        <w:pStyle w:val="ab"/>
        <w:numPr>
          <w:numId w:val="7"/>
        </w:numPr>
      </w:pPr>
      <w:r>
        <w:t>21:46 算力行业特征与十五五远景展望</w:t>
      </w:r>
    </w:p>
    <w:p>
      <w:r>
        <w:rPr>
          <w:rFonts w:ascii="等线(中文正文)" w:hAnsi="等线(中文正文)" w:cs="等线(中文正文)" w:eastAsia="等线(中文正文)"/>
          <w:b w:val="false"/>
          <w:i w:val="false"/>
          <w:sz w:val="20"/>
        </w:rPr>
        <w:t>算力行业通过高研发投入构建技术与盈利壁垒，实现高毛利和营收增速。产业链利润向高端AI芯片等高壁垒环节转移，AI核心产业链成增长引擎。行业资本密集，规模效应显著，融资能力要求高。近期行业受国家政策支撑，业绩逐步兑现，资本支出持续，面临国产化与折旧压力。十五五远景下，算力行业将呈现多层级覆盖体系、水电化特征、智能算力主导、绿色集约化发展及太空算力探索等变革趋势。</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首先介绍了远东资信投资者服务空间站，强调了它作为互动交流平台的重要性和价值，同时指出远东资信致力于构建独立、客观、公正的信用文化，为金融市场高质量发展奠定坚实的信用基础。接着，发言人深入分析了算力基础设施行业在数字经济时代的关键作用，探讨了行业的发展现状、驱动力、财务表现及未来展望，特别强调了十四五期间的战略支撑、业绩兑现、资本支出、国产化和折旧压力等关键因素。同时，展望了算力行业未来的变革趋势，包括多层级覆盖、算力水电化、智能算力主导、绿色化发展及前沿技术探索等，指明了中国算力行业的发展方向和可能面临的挑战。他的分享旨在通过深入分析，为听众提供对中国算力基础设施行业未来发展的深刻见解和启发。</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问：远东资信投资者服务空间站是什么，以及它提供的主要活动和服务有哪些？王新平老师将在本次直播中分享什么主题的内容？</w:t>
      </w:r>
    </w:p>
    <w:p>
      <w:r>
        <w:rPr>
          <w:rFonts w:ascii="等线(中文正文)" w:hAnsi="等线(中文正文)" w:cs="等线(中文正文)" w:eastAsia="等线(中文正文)"/>
          <w:b w:val="false"/>
          <w:i w:val="false"/>
          <w:sz w:val="20"/>
        </w:rPr>
        <w:t>发言人1 答：远东资信投资者服务空间站是由远东资信倾力打造的互动交流平台，涵盖了多种活动形式，如对话大V分享评级体系与研究成果、区域投资人调研、发行人线上调研平台、走进投资人实地交流、AI赋能债市解读的大型信用风险展望发布会等。该平台依托资深技术研究团队，秉持诚信务实、专业高效、创新开放、合作共赢的服务理念，致力于构建独立、客观、公正的信用文化，并携手市场各方参与者共同创建公开、透明、有序的市场环境，为金融市场高质量发展奠定坚实信用基础。王新平老师将在本期直播间带来“15，五远景：展望中国算力基础设施行业发展趋势”的主题分享，通过对行业现状剖析、驱动因素发掘、财务表现透视以及十五五远景展望，全面描绘中国算力基础设施行业的发展蓝图。</w:t>
      </w:r>
    </w:p>
    <w:p>
      <w:r>
        <w:rPr>
          <w:rFonts w:ascii="等线(中文正文)" w:hAnsi="等线(中文正文)" w:cs="等线(中文正文)" w:eastAsia="等线(中文正文)"/>
          <w:b w:val="false"/>
          <w:i w:val="false"/>
          <w:sz w:val="20"/>
        </w:rPr>
        <w:t/>
      </w:r>
    </w:p>
    <w:p>
      <w:pPr>
        <w:pStyle w:val="ab"/>
      </w:pPr>
      <w:r>
        <w:t>发言人1 问：算力基础设施行业的发展经历了哪几个关键阶段？</w:t>
      </w:r>
    </w:p>
    <w:p>
      <w:r>
        <w:rPr>
          <w:rFonts w:ascii="等线(中文正文)" w:hAnsi="等线(中文正文)" w:cs="等线(中文正文)" w:eastAsia="等线(中文正文)"/>
          <w:b w:val="false"/>
          <w:i w:val="false"/>
          <w:sz w:val="20"/>
        </w:rPr>
        <w:t>发言人1 答：算力基础设施行业的发展历程可分为三个阶段：第一阶段为2015年以前的信息化配套阶段，以传统互联网数据中心（IDC）为主，定位为政府和企业信息化配套设施，呈现分散化和区域化特征；第二阶段是2016年到2020年的规模化发展阶段，公有云服务爆发式增长带动行业向集约化、规模化转型，确立了其作为数字经济核心底座的地位；第三阶段为2021年至今的战略布局阶段，东数西算工程启动优化资源空间布局，大模型技术突破引发AI算力需求指数级增长，行业正从通用算力单一发展转向多元协同，战略属性全面凸显。</w:t>
      </w:r>
    </w:p>
    <w:p>
      <w:r>
        <w:rPr>
          <w:rFonts w:ascii="等线(中文正文)" w:hAnsi="等线(中文正文)" w:cs="等线(中文正文)" w:eastAsia="等线(中文正文)"/>
          <w:b w:val="false"/>
          <w:i w:val="false"/>
          <w:sz w:val="20"/>
        </w:rPr>
        <w:t/>
      </w:r>
    </w:p>
    <w:p>
      <w:pPr>
        <w:pStyle w:val="ab"/>
      </w:pPr>
      <w:r>
        <w:t>发言人1 问：政策体系如何影响算力行业的发展？</w:t>
      </w:r>
    </w:p>
    <w:p>
      <w:r>
        <w:rPr>
          <w:rFonts w:ascii="等线(中文正文)" w:hAnsi="等线(中文正文)" w:cs="等线(中文正文)" w:eastAsia="等线(中文正文)"/>
          <w:b w:val="false"/>
          <w:i w:val="false"/>
          <w:sz w:val="20"/>
        </w:rPr>
        <w:t>发言人1 答：算力行业是一个典型的政策驱动型行业，政策体系包括国家战略引领层面（通过国家级工程优化算力资源布局），部委细则推进环节（将宏观战略转化为具体行业路线图和时间表），地方层面的精准落地（打造算力产业集群和应用场景提升生态承载力），以及产业链层级的协同攻坚（解决国产算力的兼容性和稳定性问题，实现从可用到好用的系统性升级）。</w:t>
      </w:r>
    </w:p>
    <w:p>
      <w:r>
        <w:rPr>
          <w:rFonts w:ascii="等线(中文正文)" w:hAnsi="等线(中文正文)" w:cs="等线(中文正文)" w:eastAsia="等线(中文正文)"/>
          <w:b w:val="false"/>
          <w:i w:val="false"/>
          <w:sz w:val="20"/>
        </w:rPr>
        <w:t/>
      </w:r>
    </w:p>
    <w:p>
      <w:pPr>
        <w:pStyle w:val="ab"/>
      </w:pPr>
      <w:r>
        <w:t>发言人1 问：算力行业如何分类，以及产业链包含哪些部分？</w:t>
      </w:r>
    </w:p>
    <w:p>
      <w:r>
        <w:rPr>
          <w:rFonts w:ascii="等线(中文正文)" w:hAnsi="等线(中文正文)" w:cs="等线(中文正文)" w:eastAsia="等线(中文正文)"/>
          <w:b w:val="false"/>
          <w:i w:val="false"/>
          <w:sz w:val="20"/>
        </w:rPr>
        <w:t>发言人1 答：算力行业从服务类型上分为通用算力、智能算力和超级算力；从产业链功能环节看，包含硬件设施（如芯片和服务器）、网络设施（如光模块、交换机和路由器）、配套设施（如液冷温控方案）以及服务与应用场景（如云服务和算力租赁）。此外，算力产业链还包括上游的核心硬件与零部件，中游的数据中心建设与运营，以及下游的算力终端与应用领域。</w:t>
      </w:r>
    </w:p>
    <w:p>
      <w:r>
        <w:rPr>
          <w:rFonts w:ascii="等线(中文正文)" w:hAnsi="等线(中文正文)" w:cs="等线(中文正文)" w:eastAsia="等线(中文正文)"/>
          <w:b w:val="false"/>
          <w:i w:val="false"/>
          <w:sz w:val="20"/>
        </w:rPr>
        <w:t/>
      </w:r>
    </w:p>
    <w:p>
      <w:pPr>
        <w:pStyle w:val="ab"/>
      </w:pPr>
      <w:r>
        <w:t>发言人1 问：东数西算战略启动及政策脉络是怎样的？</w:t>
      </w:r>
    </w:p>
    <w:p>
      <w:r>
        <w:rPr>
          <w:rFonts w:ascii="等线(中文正文)" w:hAnsi="等线(中文正文)" w:cs="等线(中文正文)" w:eastAsia="等线(中文正文)"/>
          <w:b w:val="false"/>
          <w:i w:val="false"/>
          <w:sz w:val="20"/>
        </w:rPr>
        <w:t>发言人1 答：从2022年2月开始，东数西算全面启动，并确立了全国八大枢纽和十大集群。到2023年，政策提出智能算力的发展要求，并探索城市算力网建设。2025年5月，我国启动了算力互联互通行动计划，而最近工信部在2026年开展算力感知自动化监测，表明国家政策导向正转向如何用和怎么管算力资源。</w:t>
      </w:r>
    </w:p>
    <w:p>
      <w:r>
        <w:rPr>
          <w:rFonts w:ascii="等线(中文正文)" w:hAnsi="等线(中文正文)" w:cs="等线(中文正文)" w:eastAsia="等线(中文正文)"/>
          <w:b w:val="false"/>
          <w:i w:val="false"/>
          <w:sz w:val="20"/>
        </w:rPr>
        <w:t/>
      </w:r>
    </w:p>
    <w:p>
      <w:pPr>
        <w:pStyle w:val="ab"/>
      </w:pPr>
      <w:r>
        <w:t>发言人1 问：我国东数西算的空间布局情况如何？</w:t>
      </w:r>
    </w:p>
    <w:p>
      <w:r>
        <w:rPr>
          <w:rFonts w:ascii="等线(中文正文)" w:hAnsi="等线(中文正文)" w:cs="等线(中文正文)" w:eastAsia="等线(中文正文)"/>
          <w:b w:val="false"/>
          <w:i w:val="false"/>
          <w:sz w:val="20"/>
        </w:rPr>
        <w:t>发言人1 答：目前我国已批复8个国家级算力枢纽节点和10个国家级数据中心集群，中西部地区布局呈现差异化定位。东部地区如京津冀、长三角、粤港澳主要发展智算中心和边缘数据中心，聚焦AI推理和大模型应用；中西部地区则依托绿电和成本优势，发展大规模和超大规模数据中心，承接东部地区的训练算力，并通过算力加绿电一体化供给参与全国算力调度。</w:t>
      </w:r>
    </w:p>
    <w:p>
      <w:r>
        <w:rPr>
          <w:rFonts w:ascii="等线(中文正文)" w:hAnsi="等线(中文正文)" w:cs="等线(中文正文)" w:eastAsia="等线(中文正文)"/>
          <w:b w:val="false"/>
          <w:i w:val="false"/>
          <w:sz w:val="20"/>
        </w:rPr>
        <w:t/>
      </w:r>
    </w:p>
    <w:p>
      <w:pPr>
        <w:pStyle w:val="ab"/>
      </w:pPr>
      <w:r>
        <w:t>发言人1 问：算力行业的天花板在哪里？增长节奏如何？</w:t>
      </w:r>
    </w:p>
    <w:p>
      <w:r>
        <w:rPr>
          <w:rFonts w:ascii="等线(中文正文)" w:hAnsi="等线(中文正文)" w:cs="等线(中文正文)" w:eastAsia="等线(中文正文)"/>
          <w:b w:val="false"/>
          <w:i w:val="false"/>
          <w:sz w:val="20"/>
        </w:rPr>
        <w:t>发言人1 答：根据预测，我国算力规模正处爆发期，伴随大模型常态化应用，算力基础设施投资规模未来将持续高速增长。其中，智能算力将呈现指数级增长，增速远超通用算力，预计到2029年算力总规模将达到3440 300亿次算力，智能算力占据主导地位。算力市场规模方面，计算网络存储和其他板块将持续扩容，计算板块增速最快，预计到2029年接近万亿规模，成为行业增长核心点。</w:t>
      </w:r>
    </w:p>
    <w:p>
      <w:r>
        <w:rPr>
          <w:rFonts w:ascii="等线(中文正文)" w:hAnsi="等线(中文正文)" w:cs="等线(中文正文)" w:eastAsia="等线(中文正文)"/>
          <w:b w:val="false"/>
          <w:i w:val="false"/>
          <w:sz w:val="20"/>
        </w:rPr>
        <w:t/>
      </w:r>
    </w:p>
    <w:p>
      <w:pPr>
        <w:pStyle w:val="ab"/>
      </w:pPr>
      <w:r>
        <w:t>发言人1 问：算力行业高速发展的关键驱动力是什么？</w:t>
      </w:r>
    </w:p>
    <w:p>
      <w:r>
        <w:rPr>
          <w:rFonts w:ascii="等线(中文正文)" w:hAnsi="等线(中文正文)" w:cs="等线(中文正文)" w:eastAsia="等线(中文正文)"/>
          <w:b w:val="false"/>
          <w:i w:val="false"/>
          <w:sz w:val="20"/>
        </w:rPr>
        <w:t>发言人1 答：关键驱动力主要有五个方面：一是国家战略深化，从基建规划转向资源深度优化配置，如东数西算工程及跨区域服务商调度技术成熟；二是算力协同，通过算力跟着绿电走的方式解决人工智能发展的能源瓶颈；三是技术质变，智能算力需求爆发，训练和推理需求增加，以及token出海形成增量；四是算力从互联网行业向传统行业深度渗透，制造业、新兴领域以及电信、金融、能源等行业对算力需求提升；五是安全与创新并重，技术自主可控成为行业长期发展的基石，能效指标硬约束促使液冷技术等创新应用成为必须。</w:t>
      </w:r>
    </w:p>
    <w:p>
      <w:r>
        <w:rPr>
          <w:rFonts w:ascii="等线(中文正文)" w:hAnsi="等线(中文正文)" w:cs="等线(中文正文)" w:eastAsia="等线(中文正文)"/>
          <w:b w:val="false"/>
          <w:i w:val="false"/>
          <w:sz w:val="20"/>
        </w:rPr>
        <w:t/>
      </w:r>
    </w:p>
    <w:p>
      <w:pPr>
        <w:pStyle w:val="ab"/>
      </w:pPr>
      <w:r>
        <w:t>发言人1 问：算力基础设施行业样本企业的财务表现如何？</w:t>
      </w:r>
    </w:p>
    <w:p>
      <w:r>
        <w:rPr>
          <w:rFonts w:ascii="等线(中文正文)" w:hAnsi="等线(中文正文)" w:cs="等线(中文正文)" w:eastAsia="等线(中文正文)"/>
          <w:b w:val="false"/>
          <w:i w:val="false"/>
          <w:sz w:val="20"/>
        </w:rPr>
        <w:t>发言人1 答：样本企业财务表现呈现结构化分化特征。从规模看，三大运营商总资产和总营收占据主导地位；从成长性角度看，光通信环节如中际创新易盛等企业和国产芯片厂商如海光信息，在营收和利润复合增长率上处于行业领先地位。</w:t>
      </w:r>
    </w:p>
    <w:p>
      <w:r>
        <w:rPr>
          <w:rFonts w:ascii="等线(中文正文)" w:hAnsi="等线(中文正文)" w:cs="等线(中文正文)" w:eastAsia="等线(中文正文)"/>
          <w:b w:val="false"/>
          <w:i w:val="false"/>
          <w:sz w:val="20"/>
        </w:rPr>
        <w:t/>
      </w:r>
    </w:p>
    <w:p>
      <w:pPr>
        <w:pStyle w:val="ab"/>
      </w:pPr>
      <w:r>
        <w:t>发言人1 问：在研发强度方面，国产芯片厂商的情况如何？在利润溢价方面，代工企业和拥有技术壁垒的公司表现怎样？</w:t>
      </w:r>
    </w:p>
    <w:p>
      <w:r>
        <w:rPr>
          <w:rFonts w:ascii="等线(中文正文)" w:hAnsi="等线(中文正文)" w:cs="等线(中文正文)" w:eastAsia="等线(中文正文)"/>
          <w:b w:val="false"/>
          <w:i w:val="false"/>
          <w:sz w:val="20"/>
        </w:rPr>
        <w:t>发言人1 答：国产芯片厂商的研发费用率普遍维持较高水平。虽然代工企业的营收规模较大，但毛利率相对偏低。而具备技术壁垒的AI芯片和光模块环节公司，其毛利率普遍较高。</w:t>
      </w:r>
    </w:p>
    <w:p>
      <w:r>
        <w:rPr>
          <w:rFonts w:ascii="等线(中文正文)" w:hAnsi="等线(中文正文)" w:cs="等线(中文正文)" w:eastAsia="等线(中文正文)"/>
          <w:b w:val="false"/>
          <w:i w:val="false"/>
          <w:sz w:val="20"/>
        </w:rPr>
        <w:t/>
      </w:r>
    </w:p>
    <w:p>
      <w:pPr>
        <w:pStyle w:val="ab"/>
      </w:pPr>
      <w:r>
        <w:t>发言人1 问：研发支出和营收增长率之间的关系是怎样的？</w:t>
      </w:r>
    </w:p>
    <w:p>
      <w:r>
        <w:rPr>
          <w:rFonts w:ascii="等线(中文正文)" w:hAnsi="等线(中文正文)" w:cs="等线(中文正文)" w:eastAsia="等线(中文正文)"/>
          <w:b w:val="false"/>
          <w:i w:val="false"/>
          <w:sz w:val="20"/>
        </w:rPr>
        <w:t>发言人1 答：高研发投入的算力行业驱动了公司高成长性，从对比图中可以看出，研发支出占比高的企业如寒武纪、海光、新易盛等，在技术迭代周期中抢占了市场先机，并实现了远超市场平均的增长动能。</w:t>
      </w:r>
    </w:p>
    <w:p>
      <w:r>
        <w:rPr>
          <w:rFonts w:ascii="等线(中文正文)" w:hAnsi="等线(中文正文)" w:cs="等线(中文正文)" w:eastAsia="等线(中文正文)"/>
          <w:b w:val="false"/>
          <w:i w:val="false"/>
          <w:sz w:val="20"/>
        </w:rPr>
        <w:t/>
      </w:r>
    </w:p>
    <w:p>
      <w:pPr>
        <w:pStyle w:val="ab"/>
      </w:pPr>
      <w:r>
        <w:t>发言人1 问：样本企业的财务特征有哪些核心特点？</w:t>
      </w:r>
    </w:p>
    <w:p>
      <w:r>
        <w:rPr>
          <w:rFonts w:ascii="等线(中文正文)" w:hAnsi="等线(中文正文)" w:cs="等线(中文正文)" w:eastAsia="等线(中文正文)"/>
          <w:b w:val="false"/>
          <w:i w:val="false"/>
          <w:sz w:val="20"/>
        </w:rPr>
        <w:t>发言人1 答：样本企业的财务特征主要有四个核心特点：一是高研发投入构建了技术与盈利壁垒；二是传统环节营收和成长承压，高端环节享受行业溢价；三是AI核心产业链是行业增长引擎，光模块呈现量价齐升特征，国产芯片厂商步入业绩兑现区；四是行业属于资本密集型，对融资能力要求高。</w:t>
      </w:r>
    </w:p>
    <w:p>
      <w:r>
        <w:rPr>
          <w:rFonts w:ascii="等线(中文正文)" w:hAnsi="等线(中文正文)" w:cs="等线(中文正文)" w:eastAsia="等线(中文正文)"/>
          <w:b w:val="false"/>
          <w:i w:val="false"/>
          <w:sz w:val="20"/>
        </w:rPr>
        <w:t/>
      </w:r>
    </w:p>
    <w:p>
      <w:pPr>
        <w:pStyle w:val="ab"/>
      </w:pPr>
      <w:r>
        <w:t>发言人1 问：近期算力基础设施行业发展的关键词有哪些？</w:t>
      </w:r>
    </w:p>
    <w:p>
      <w:r>
        <w:rPr>
          <w:rFonts w:ascii="等线(中文正文)" w:hAnsi="等线(中文正文)" w:cs="等线(中文正文)" w:eastAsia="等线(中文正文)"/>
          <w:b w:val="false"/>
          <w:i w:val="false"/>
          <w:sz w:val="20"/>
        </w:rPr>
        <w:t>发言人1 答：近期行业发展的关键词包括国家战略支撑、业绩逐步兑现、高度资本支出以及国产化与折旧压力。</w:t>
      </w:r>
    </w:p>
    <w:p>
      <w:r>
        <w:rPr>
          <w:rFonts w:ascii="等线(中文正文)" w:hAnsi="等线(中文正文)" w:cs="等线(中文正文)" w:eastAsia="等线(中文正文)"/>
          <w:b w:val="false"/>
          <w:i w:val="false"/>
          <w:sz w:val="20"/>
        </w:rPr>
        <w:t/>
      </w:r>
    </w:p>
    <w:p>
      <w:pPr>
        <w:pStyle w:val="ab"/>
      </w:pPr>
      <w:r>
        <w:t>发言人1 问：对于十五五时期，算力行业的远景展望是什么？</w:t>
      </w:r>
    </w:p>
    <w:p>
      <w:r>
        <w:rPr>
          <w:rFonts w:ascii="等线(中文正文)" w:hAnsi="等线(中文正文)" w:cs="等线(中文正文)" w:eastAsia="等线(中文正文)"/>
          <w:b w:val="false"/>
          <w:i w:val="false"/>
          <w:sz w:val="20"/>
        </w:rPr>
        <w:t>发言人1 答：十五五时期，算力行业将呈现更大变革趋势，形成多层级覆盖体系、算力水电化特征、智能算力占据主导地位以及绿色化集约化发展。</w:t>
      </w:r>
    </w:p>
    <w:p>
      <w:r>
        <w:rPr>
          <w:rFonts w:ascii="等线(中文正文)" w:hAnsi="等线(中文正文)" w:cs="等线(中文正文)" w:eastAsia="等线(中文正文)"/>
          <w:b w:val="false"/>
          <w:i w:val="false"/>
          <w:sz w:val="20"/>
        </w:rPr>
        <w:t/>
      </w:r>
    </w:p>
    <w:p>
      <w:pPr>
        <w:pStyle w:val="ab"/>
      </w:pPr>
      <w:r>
        <w:t>发言人1 问：前沿探索方面，算力行业有哪些新趋势？</w:t>
      </w:r>
    </w:p>
    <w:p>
      <w:r>
        <w:rPr>
          <w:rFonts w:ascii="等线(中文正文)" w:hAnsi="等线(中文正文)" w:cs="等线(中文正文)" w:eastAsia="等线(中文正文)"/>
          <w:b w:val="false"/>
          <w:i w:val="false"/>
          <w:sz w:val="20"/>
        </w:rPr>
        <w:t>发言人1 答：前沿探索中，太空算力将成为算力行业的新边疆，未来有望利用星间通信构建非地面算力网络以应对地球能源和物理空间算力极限。</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2026-05-13T23:57:06Z</dcterms:created>
  <dc:creator>Apache POI</dc:creator>
</cp:coreProperties>
</file>