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华福银行业 _ 银行机构行为分析的八大常见误区 260513_导读</w:t>
      </w:r>
    </w:p>
    <w:p>
      <w:pPr>
        <w:pStyle w:val="a0"/>
        <w:jc w:val="center"/>
      </w:pPr>
      <w:r>
        <w:t>2026年05月14日 00:38</w:t>
      </w:r>
    </w:p>
    <w:p>
      <w:pPr>
        <w:pStyle w:val="a7"/>
      </w:pPr>
      <w:r>
        <w:t>关键词</w:t>
      </w:r>
    </w:p>
    <w:p>
      <w:r>
        <w:rPr>
          <w:rFonts w:ascii="等线(中文正文)" w:hAnsi="等线(中文正文)" w:cs="等线(中文正文)" w:eastAsia="等线(中文正文)"/>
          <w:b w:val="false"/>
          <w:i w:val="false"/>
          <w:sz w:val="20"/>
        </w:rPr>
        <w:t xml:space="preserve">银行 资产荒 息差 FTP 利率 负债 资金面 流动性 股市 超储率 债市 非银 资本占用 存单 偿债 融资 配置 收益率 宏观 机构行为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新入职华福证券的分析师在首场汇报中，聚焦于银行机构行为的常见分析误区，通过银行支付和资产配置行为框架，指出市场对银行固收产品和行为的误解。报告详细探讨了八个误区，包括低利率与资产荒、FTP影响、融出资金解读、超储率与资金利率、债市资金流向、存款与非银金融资关系、存贷差扩大原因等，旨在揭示分析中的问题和误解，强调正确理解银行分析方法的重要性。报告基于实际数据和案例，为误区提出思考和建议，助力市场参与者准确理解银行行为与市场趋势。</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银行机构行为分析误区与实战思考</w:t>
      </w:r>
    </w:p>
    <w:p>
      <w:r>
        <w:rPr>
          <w:rFonts w:ascii="等线(中文正文)" w:hAnsi="等线(中文正文)" w:cs="等线(中文正文)" w:eastAsia="等线(中文正文)"/>
          <w:b w:val="false"/>
          <w:i w:val="false"/>
          <w:sz w:val="20"/>
        </w:rPr>
        <w:t>报告探讨了银行机构行为分析中的常见误区，特别是两分法在宏观经济分析中的局限性，指出社融与M2作为资产与负债的两面，难以单一框定一方面去推断另一方面，强调了实战中正确分析方法的重要性。</w:t>
      </w:r>
    </w:p>
    <w:p>
      <w:r>
        <w:rPr>
          <w:rFonts w:ascii="等线(中文正文)" w:hAnsi="等线(中文正文)" w:cs="等线(中文正文)" w:eastAsia="等线(中文正文)"/>
          <w:b w:val="false"/>
          <w:i w:val="false"/>
          <w:sz w:val="20"/>
        </w:rPr>
        <w:t/>
      </w:r>
    </w:p>
    <w:p>
      <w:pPr>
        <w:pStyle w:val="ab"/>
        <w:numPr>
          <w:numId w:val="2"/>
        </w:numPr>
      </w:pPr>
      <w:r>
        <w:t>01:22 低利率与资产荒：银行视角下的误区解析</w:t>
      </w:r>
    </w:p>
    <w:p>
      <w:r>
        <w:rPr>
          <w:rFonts w:ascii="等线(中文正文)" w:hAnsi="等线(中文正文)" w:cs="等线(中文正文)" w:eastAsia="等线(中文正文)"/>
          <w:b w:val="false"/>
          <w:i w:val="false"/>
          <w:sz w:val="20"/>
        </w:rPr>
        <w:t>讨论了低利率环境下资产荒的形成机制，指出传统固收分析将资产荒归因于利率偏低的观点存在误区。从银行视角出发，资产荒的感受实际上取决于息差而非利率水平。通过分析银行的付息成本率与资产收益差额，论证了息差的平稳或扩大能缓解资产荒的体感，而非利率高低。此外，非银机构的息差概念也类似，其资产端收益与负债成本率的差额决定了资产荒的感知程度。</w:t>
      </w:r>
    </w:p>
    <w:p>
      <w:r>
        <w:rPr>
          <w:rFonts w:ascii="等线(中文正文)" w:hAnsi="等线(中文正文)" w:cs="等线(中文正文)" w:eastAsia="等线(中文正文)"/>
          <w:b w:val="false"/>
          <w:i w:val="false"/>
          <w:sz w:val="20"/>
        </w:rPr>
        <w:t/>
      </w:r>
    </w:p>
    <w:p>
      <w:pPr>
        <w:pStyle w:val="ab"/>
        <w:numPr>
          <w:numId w:val="3"/>
        </w:numPr>
      </w:pPr>
      <w:r>
        <w:t>04:11 银行FTP定价与债券配置关系分析</w:t>
      </w:r>
    </w:p>
    <w:p>
      <w:r>
        <w:rPr>
          <w:rFonts w:ascii="等线(中文正文)" w:hAnsi="等线(中文正文)" w:cs="等线(中文正文)" w:eastAsia="等线(中文正文)"/>
          <w:b w:val="false"/>
          <w:i w:val="false"/>
          <w:sz w:val="20"/>
        </w:rPr>
        <w:t>讨论了银行FTP定价模式及其对债券配置的影响，指出FTP并非直接决定债券利率下限，而更多作为成本考核标准。分析了FTP与各类利率的关系，强调其同步变化的correlation性质，而非因果联系。此外，FTP可能不分期限定价，影响资金分配至债市的决策。</w:t>
      </w:r>
    </w:p>
    <w:p>
      <w:r>
        <w:rPr>
          <w:rFonts w:ascii="等线(中文正文)" w:hAnsi="等线(中文正文)" w:cs="等线(中文正文)" w:eastAsia="等线(中文正文)"/>
          <w:b w:val="false"/>
          <w:i w:val="false"/>
          <w:sz w:val="20"/>
        </w:rPr>
        <w:t/>
      </w:r>
    </w:p>
    <w:p>
      <w:pPr>
        <w:pStyle w:val="ab"/>
        <w:numPr>
          <w:numId w:val="4"/>
        </w:numPr>
      </w:pPr>
      <w:r>
        <w:t>05:52 银行融出资金与银行资金充裕性无关的误区</w:t>
      </w:r>
    </w:p>
    <w:p>
      <w:r>
        <w:rPr>
          <w:rFonts w:ascii="等线(中文正文)" w:hAnsi="等线(中文正文)" w:cs="等线(中文正文)" w:eastAsia="等线(中文正文)"/>
          <w:b w:val="false"/>
          <w:i w:val="false"/>
          <w:sz w:val="20"/>
        </w:rPr>
        <w:t>讨论了银行融出资金并不直接反映其资金充裕性的观点，指出非银机构获取资金后可能存回银行或购买债券，最终资金仍可能回流银行。通过分析大行金融出和净买债的同步性，说明银行融出与资金充裕性无直接关系，而是受到流程考核影响。</w:t>
      </w:r>
    </w:p>
    <w:p>
      <w:r>
        <w:rPr>
          <w:rFonts w:ascii="等线(中文正文)" w:hAnsi="等线(中文正文)" w:cs="等线(中文正文)" w:eastAsia="等线(中文正文)"/>
          <w:b w:val="false"/>
          <w:i w:val="false"/>
          <w:sz w:val="20"/>
        </w:rPr>
        <w:t/>
      </w:r>
    </w:p>
    <w:p>
      <w:pPr>
        <w:pStyle w:val="ab"/>
        <w:numPr>
          <w:numId w:val="5"/>
        </w:numPr>
      </w:pPr>
      <w:r>
        <w:t>07:03 超储率与资金利率关系探讨</w:t>
      </w:r>
    </w:p>
    <w:p>
      <w:r>
        <w:rPr>
          <w:rFonts w:ascii="等线(中文正文)" w:hAnsi="等线(中文正文)" w:cs="等线(中文正文)" w:eastAsia="等线(中文正文)"/>
          <w:b w:val="false"/>
          <w:i w:val="false"/>
          <w:sz w:val="20"/>
        </w:rPr>
        <w:t>讨论了超储率对资金利率影响有限的现象，提出资金利率受负债数量和质量双重约束的观点。负债数量由央行流动性规模决定，而负债质量受银行流动性指标监管影响，导致银行可能主动放松负债质量约束，引发资金面宽松。分析了银行通过发行存单和卖出偿债两种方式自发性宽松资金面的机制，强调这种宽松非央行主动放松流动性所致。</w:t>
      </w:r>
    </w:p>
    <w:p>
      <w:r>
        <w:rPr>
          <w:rFonts w:ascii="等线(中文正文)" w:hAnsi="等线(中文正文)" w:cs="等线(中文正文)" w:eastAsia="等线(中文正文)"/>
          <w:b w:val="false"/>
          <w:i w:val="false"/>
          <w:sz w:val="20"/>
        </w:rPr>
        <w:t/>
      </w:r>
    </w:p>
    <w:p>
      <w:pPr>
        <w:pStyle w:val="ab"/>
        <w:numPr>
          <w:numId w:val="6"/>
        </w:numPr>
      </w:pPr>
      <w:r>
        <w:t>09:27 资金流向股市与债市的误解解析</w:t>
      </w:r>
    </w:p>
    <w:p>
      <w:r>
        <w:rPr>
          <w:rFonts w:ascii="等线(中文正文)" w:hAnsi="等线(中文正文)" w:cs="等线(中文正文)" w:eastAsia="等线(中文正文)"/>
          <w:b w:val="false"/>
          <w:i w:val="false"/>
          <w:sz w:val="20"/>
        </w:rPr>
        <w:t>探讨资金由银行或债市流向股市是否导致资金链紧张，指出股市并非资金蓄水池，而是改变银行负债结构，影响利率曲线。通过分析银行存款转化为非银存款的过程，以及非银机构赎回债基对银行短期借贷的影响，解释股债跷跷板现象。数据图表显示股市上涨与非银存款增长同步，与利率曲线变动相关，揭示资金流向股市对金融市场的影响机制。</w:t>
      </w:r>
    </w:p>
    <w:p>
      <w:r>
        <w:rPr>
          <w:rFonts w:ascii="等线(中文正文)" w:hAnsi="等线(中文正文)" w:cs="等线(中文正文)" w:eastAsia="等线(中文正文)"/>
          <w:b w:val="false"/>
          <w:i w:val="false"/>
          <w:sz w:val="20"/>
        </w:rPr>
        <w:t/>
      </w:r>
    </w:p>
    <w:p>
      <w:pPr>
        <w:pStyle w:val="ab"/>
        <w:numPr>
          <w:numId w:val="7"/>
        </w:numPr>
      </w:pPr>
      <w:r>
        <w:t>11:50 银行流动性变化与债市日历效应的关联分析</w:t>
      </w:r>
    </w:p>
    <w:p>
      <w:r>
        <w:rPr>
          <w:rFonts w:ascii="等线(中文正文)" w:hAnsi="等线(中文正文)" w:cs="等线(中文正文)" w:eastAsia="等线(中文正文)"/>
          <w:b w:val="false"/>
          <w:i w:val="false"/>
          <w:sz w:val="20"/>
        </w:rPr>
        <w:t>讨论了银行季度经营规律对债市日历效应的影响，指出一季度存款增长高于贷款，非银资金汇入银行，二季度调结构改善中收影响理财力度，导致流动性变化，进而影响债市表现。强调银行主导的流动性变化与非银资金回表是债市日历效应形成的关键因素。</w:t>
      </w:r>
    </w:p>
    <w:p>
      <w:r>
        <w:rPr>
          <w:rFonts w:ascii="等线(中文正文)" w:hAnsi="等线(中文正文)" w:cs="等线(中文正文)" w:eastAsia="等线(中文正文)"/>
          <w:b w:val="false"/>
          <w:i w:val="false"/>
          <w:sz w:val="20"/>
        </w:rPr>
        <w:t/>
      </w:r>
    </w:p>
    <w:p>
      <w:pPr>
        <w:pStyle w:val="ab"/>
        <w:numPr>
          <w:numId w:val="8"/>
        </w:numPr>
      </w:pPr>
      <w:r>
        <w:t>13:16 银行存单发行目的与影响因素分析</w:t>
      </w:r>
    </w:p>
    <w:p>
      <w:r>
        <w:rPr>
          <w:rFonts w:ascii="等线(中文正文)" w:hAnsi="等线(中文正文)" w:cs="等线(中文正文)" w:eastAsia="等线(中文正文)"/>
          <w:b w:val="false"/>
          <w:i w:val="false"/>
          <w:sz w:val="20"/>
        </w:rPr>
        <w:t>对话探讨了银行发行存单的三大目的：扩表诉求、应对存款流失及调整指标。分析指出，2025年以来，基于规模诉求的存单发行减弱，而基于存款流失和调指标的发行增加。2026年，因规模数据减弱、存款拖累减轻及银行指标改善，存单发行规模预期不高。</w:t>
      </w:r>
    </w:p>
    <w:p>
      <w:r>
        <w:rPr>
          <w:rFonts w:ascii="等线(中文正文)" w:hAnsi="等线(中文正文)" w:cs="等线(中文正文)" w:eastAsia="等线(中文正文)"/>
          <w:b w:val="false"/>
          <w:i w:val="false"/>
          <w:sz w:val="20"/>
        </w:rPr>
        <w:t/>
      </w:r>
    </w:p>
    <w:p>
      <w:pPr>
        <w:pStyle w:val="ab"/>
        <w:numPr>
          <w:numId w:val="9"/>
        </w:numPr>
      </w:pPr>
      <w:r>
        <w:t>15:06 银行存贷差走扩因素分析</w:t>
      </w:r>
    </w:p>
    <w:p>
      <w:r>
        <w:rPr>
          <w:rFonts w:ascii="等线(中文正文)" w:hAnsi="等线(中文正文)" w:cs="等线(中文正文)" w:eastAsia="等线(中文正文)"/>
          <w:b w:val="false"/>
          <w:i w:val="false"/>
          <w:sz w:val="20"/>
        </w:rPr>
        <w:t>讨论了银行存贷差走扩的六个关键因素，包括银行对非银的拆借、债券对贷款的替代效应以及非银资金回表等，其中债券替代效应占主导。通过资产负债表分析，解释了存贷差扩大的机构行为逻辑，强调了非银资金流动性和企业融资方式变化对存贷差的影响。</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在华福证券任职期间，深入研究了银行机构行为，并揭示了七个常见的分析误区。首先，他指出低利率与资产荒之间并非简单相关，需谨慎解读两者关系。其次，FTP机制对银行债券配置的影响被过度简化，实际操作复杂得多。再者，银行融出资金并不一定反映资金充裕状况，需结合其他指标综合判断。此外，超储率的高低被错误解读为银行流动性的唯一指标，忽略了其实际意义。他还强调，资金流向股市的假设往往过于片面，忽视了资金的复杂流动路径。对于存单发行目的，市场上存在误解，实际上，其背后有着更深层次的市场和银行策略考量。关于存贷差扩大的因素，市场分析常忽略其背后的复杂机制。最后，他指出，银行流动性指标的错误解读是另一个常见误区，强调分析时应避免简单化假设，而应深入理解市场动态和机构策略，以更准确地把握银行操作和市场趋势。</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问：在银行机构行为分析中，存在哪些常见的误区？</w:t>
      </w:r>
    </w:p>
    <w:p>
      <w:r>
        <w:rPr>
          <w:rFonts w:ascii="等线(中文正文)" w:hAnsi="等线(中文正文)" w:cs="等线(中文正文)" w:eastAsia="等线(中文正文)"/>
          <w:b w:val="false"/>
          <w:i w:val="false"/>
          <w:sz w:val="20"/>
        </w:rPr>
        <w:t>发言人1 答：在银行机构行为分析中，常见的误区主要包括对低利率是否导致资产荒、央行投放资金过多引发资产荒以及经济增长速度下行导致资产荒等观点的误解。这些误区实际上源于两分法的分析方法，即假设一个因素不变去推断另一个因素，而忽略了资产方和负债方在社融和M2中的动态变化关系。</w:t>
      </w:r>
    </w:p>
    <w:p>
      <w:r>
        <w:rPr>
          <w:rFonts w:ascii="等线(中文正文)" w:hAnsi="等线(中文正文)" w:cs="等线(中文正文)" w:eastAsia="等线(中文正文)"/>
          <w:b w:val="false"/>
          <w:i w:val="false"/>
          <w:sz w:val="20"/>
        </w:rPr>
        <w:t/>
      </w:r>
    </w:p>
    <w:p>
      <w:pPr>
        <w:pStyle w:val="ab"/>
      </w:pPr>
      <w:r>
        <w:t>发言人1 问：对于低利率是否引发资产荒的问题，银行固收视角和银行视角分别如何解释？银行利差对于资产荒感受的影响是怎样的？</w:t>
      </w:r>
    </w:p>
    <w:p>
      <w:r>
        <w:rPr>
          <w:rFonts w:ascii="等线(中文正文)" w:hAnsi="等线(中文正文)" w:cs="等线(中文正文)" w:eastAsia="等线(中文正文)"/>
          <w:b w:val="false"/>
          <w:i w:val="false"/>
          <w:sz w:val="20"/>
        </w:rPr>
        <w:t>发言人1 答：从固收视角看，有人认为政府债供给不足导致资产荒，但从银行视角分析，这一观点并不成立，因为政府债发行只是改变了资产结构，不影响整体资产荒的判断。另一个观点认为央行投放过多冗余资金造成资产荒，但实际上，这些资金最终形成了银行的超额准备金，并未直接引发资产荒。银行利差相对于负债成本与资产收益的差额，才是决定资产荒感受的关键因素。从上市银行数据来看，25年一季度银行付息成本下行，而银行实际资产收益保持稳定，表明银行利差在变化，这代表了资产方体感的弱化，而非利率水平决定资产荒感受。</w:t>
      </w:r>
    </w:p>
    <w:p>
      <w:r>
        <w:rPr>
          <w:rFonts w:ascii="等线(中文正文)" w:hAnsi="等线(中文正文)" w:cs="等线(中文正文)" w:eastAsia="等线(中文正文)"/>
          <w:b w:val="false"/>
          <w:i w:val="false"/>
          <w:sz w:val="20"/>
        </w:rPr>
        <w:t/>
      </w:r>
    </w:p>
    <w:p>
      <w:pPr>
        <w:pStyle w:val="ab"/>
      </w:pPr>
      <w:r>
        <w:t>发言人1 问：是否可以认为经济增长速度下行和高收益资产减少是导致资产荒的原因？</w:t>
      </w:r>
    </w:p>
    <w:p>
      <w:r>
        <w:rPr>
          <w:rFonts w:ascii="等线(中文正文)" w:hAnsi="等线(中文正文)" w:cs="等线(中文正文)" w:eastAsia="等线(中文正文)"/>
          <w:b w:val="false"/>
          <w:i w:val="false"/>
          <w:sz w:val="20"/>
        </w:rPr>
        <w:t>发言人1 答：这两个因素并不能有效解释资产荒的问题。例如，即使经济增长速度下行，市场上仍存在低利率环境（如25年十年国债利率处于低位），同时日本长期零利率并未引发资产荒。因此，资产荒并非简单由利率水平或高收益资产减少决定，而是取决于银行的息差水平。</w:t>
      </w:r>
    </w:p>
    <w:p>
      <w:r>
        <w:rPr>
          <w:rFonts w:ascii="等线(中文正文)" w:hAnsi="等线(中文正文)" w:cs="等线(中文正文)" w:eastAsia="等线(中文正文)"/>
          <w:b w:val="false"/>
          <w:i w:val="false"/>
          <w:sz w:val="20"/>
        </w:rPr>
        <w:t/>
      </w:r>
    </w:p>
    <w:p>
      <w:pPr>
        <w:pStyle w:val="ab"/>
      </w:pPr>
      <w:r>
        <w:t>发言人1 问：银行FTP（内部资金转移价格）是否决定了银行债券配置利率下限？</w:t>
      </w:r>
    </w:p>
    <w:p>
      <w:r>
        <w:rPr>
          <w:rFonts w:ascii="等线(中文正文)" w:hAnsi="等线(中文正文)" w:cs="等线(中文正文)" w:eastAsia="等线(中文正文)"/>
          <w:b w:val="false"/>
          <w:i w:val="false"/>
          <w:sz w:val="20"/>
        </w:rPr>
        <w:t>发言人1 答：虽然理论上FTP作为银行配件的成本率会影响银行对于各类资产的选择，但实际分析显示，FTP并不能完全决定银行债券配置利率的下限，即FTP调整可能会影响银行内部资金配置，但还有其他因素需要考虑。</w:t>
      </w:r>
    </w:p>
    <w:p>
      <w:r>
        <w:rPr>
          <w:rFonts w:ascii="等线(中文正文)" w:hAnsi="等线(中文正文)" w:cs="等线(中文正文)" w:eastAsia="等线(中文正文)"/>
          <w:b w:val="false"/>
          <w:i w:val="false"/>
          <w:sz w:val="20"/>
        </w:rPr>
        <w:t/>
      </w:r>
    </w:p>
    <w:p>
      <w:pPr>
        <w:pStyle w:val="ab"/>
      </w:pPr>
      <w:r>
        <w:t>发言人1 问：FTP对于银行债券配置上存在哪些问题？</w:t>
      </w:r>
    </w:p>
    <w:p>
      <w:r>
        <w:rPr>
          <w:rFonts w:ascii="等线(中文正文)" w:hAnsi="等线(中文正文)" w:cs="等线(中文正文)" w:eastAsia="等线(中文正文)"/>
          <w:b w:val="false"/>
          <w:i w:val="false"/>
          <w:sz w:val="20"/>
        </w:rPr>
        <w:t>发言人1 答：第一个问题在于，从比价角度看，在不考虑资本占用的情况下，发放贷款的性价比高于购买债券，而银行在信贷需求不足时会将多余的资金配置给债市，因此FDP更多反映的是银行的借钱成本考核或收益考核，而非主动借钱需求。钱一定会以FTB的价格借给金市，金市能否有效投资并满足收益率要求，则取决于其实际投资能力，但银行会对其流动性有相关考核。</w:t>
      </w:r>
    </w:p>
    <w:p>
      <w:r>
        <w:rPr>
          <w:rFonts w:ascii="等线(中文正文)" w:hAnsi="等线(中文正文)" w:cs="等线(中文正文)" w:eastAsia="等线(中文正文)"/>
          <w:b w:val="false"/>
          <w:i w:val="false"/>
          <w:sz w:val="20"/>
        </w:rPr>
        <w:t/>
      </w:r>
    </w:p>
    <w:p>
      <w:pPr>
        <w:pStyle w:val="ab"/>
      </w:pPr>
      <w:r>
        <w:t>发言人1 问：对于FTB的理解有哪些误区？</w:t>
      </w:r>
    </w:p>
    <w:p>
      <w:r>
        <w:rPr>
          <w:rFonts w:ascii="等线(中文正文)" w:hAnsi="等线(中文正文)" w:cs="等线(中文正文)" w:eastAsia="等线(中文正文)"/>
          <w:b w:val="false"/>
          <w:i w:val="false"/>
          <w:sz w:val="20"/>
        </w:rPr>
        <w:t>发言人1 答：第二个误区是认为FTB调降必然导致利率下行，实际上它们之间可能存在correlation关系而非明显的因果联系。第三个误区认为所有期限的FTP定价相同，这是由于金狮作为酒具配比经营，所以APP不分价格，但这并不意味着长期FTP定价无差异。</w:t>
      </w:r>
    </w:p>
    <w:p>
      <w:r>
        <w:rPr>
          <w:rFonts w:ascii="等线(中文正文)" w:hAnsi="等线(中文正文)" w:cs="等线(中文正文)" w:eastAsia="等线(中文正文)"/>
          <w:b w:val="false"/>
          <w:i w:val="false"/>
          <w:sz w:val="20"/>
        </w:rPr>
        <w:t/>
      </w:r>
    </w:p>
    <w:p>
      <w:pPr>
        <w:pStyle w:val="ab"/>
      </w:pPr>
      <w:r>
        <w:t>发言人1 问：银行超储率宽松是否意味着资金链紧张？</w:t>
      </w:r>
    </w:p>
    <w:p>
      <w:r>
        <w:rPr>
          <w:rFonts w:ascii="等线(中文正文)" w:hAnsi="等线(中文正文)" w:cs="等线(中文正文)" w:eastAsia="等线(中文正文)"/>
          <w:b w:val="false"/>
          <w:i w:val="false"/>
          <w:sz w:val="20"/>
        </w:rPr>
        <w:t>发言人1 答：银行资金由债市流向股市，并不必然意味着资金链紧张。这种资金流动过程中的利率变化可能是由于银行受到流动性指标约束而自发性地放松负债质量，从而导致资金面宽松，并且可以伴随偿债利率上行。所以，资金链紧张的判断不应仅依据资金流向股市这一单一现象。</w:t>
      </w:r>
    </w:p>
    <w:p>
      <w:r>
        <w:rPr>
          <w:rFonts w:ascii="等线(中文正文)" w:hAnsi="等线(中文正文)" w:cs="等线(中文正文)" w:eastAsia="等线(中文正文)"/>
          <w:b w:val="false"/>
          <w:i w:val="false"/>
          <w:sz w:val="20"/>
        </w:rPr>
        <w:t/>
      </w:r>
    </w:p>
    <w:p>
      <w:pPr>
        <w:pStyle w:val="ab"/>
      </w:pPr>
      <w:r>
        <w:t>发言人1 问：银行融出资金是否代表银行有钱？银行融出资金与银行净买债的关系如何？</w:t>
      </w:r>
    </w:p>
    <w:p>
      <w:r>
        <w:rPr>
          <w:rFonts w:ascii="等线(中文正文)" w:hAnsi="等线(中文正文)" w:cs="等线(中文正文)" w:eastAsia="等线(中文正文)"/>
          <w:b w:val="false"/>
          <w:i w:val="false"/>
          <w:sz w:val="20"/>
        </w:rPr>
        <w:t>发言人1 答：银行融出资金并不一定反映其资金充裕程度。虽然融出资金看似资金流出，但非银机构可能将资金阶段性存回银行或购买银行债券，最终资金仍可能回到银行。因此，融出规模多寡不代表银行没钱，判断银行资金状况应从报表上推导，银行融出与银行是否有钱没有直接关系。根据图表数据显示，银行融出与银行净买债呈现同步变化趋势，表明它们可能是银行调整流动性指标的表现，如超储率指标的影响。</w:t>
      </w:r>
    </w:p>
    <w:p>
      <w:r>
        <w:rPr>
          <w:rFonts w:ascii="等线(中文正文)" w:hAnsi="等线(中文正文)" w:cs="等线(中文正文)" w:eastAsia="等线(中文正文)"/>
          <w:b w:val="false"/>
          <w:i w:val="false"/>
          <w:sz w:val="20"/>
        </w:rPr>
        <w:t/>
      </w:r>
    </w:p>
    <w:p>
      <w:pPr>
        <w:pStyle w:val="ab"/>
      </w:pPr>
      <w:r>
        <w:t>发言人1 问：超储率指标在当前资金面分析中的作用如何？</w:t>
      </w:r>
    </w:p>
    <w:p>
      <w:r>
        <w:rPr>
          <w:rFonts w:ascii="等线(中文正文)" w:hAnsi="等线(中文正文)" w:cs="等线(中文正文)" w:eastAsia="等线(中文正文)"/>
          <w:b w:val="false"/>
          <w:i w:val="false"/>
          <w:sz w:val="20"/>
        </w:rPr>
        <w:t>发言人1 答：超储率与资金利率的关联度似乎减弱，导致有人认为超储率指标不再具有明显作用。但实际上，资金利率受到负债的数量（央行提供的流动性规模）和负债的质量（银行受监管限制而偏向短期资产配置）两个约束。即使在负债数量未放松的情况下，银行通过融出资金和卖偿债等方式主动放松负债质量约束，从而实现资金面的宽松。</w:t>
      </w:r>
    </w:p>
    <w:p>
      <w:r>
        <w:rPr>
          <w:rFonts w:ascii="等线(中文正文)" w:hAnsi="等线(中文正文)" w:cs="等线(中文正文)" w:eastAsia="等线(中文正文)"/>
          <w:b w:val="false"/>
          <w:i w:val="false"/>
          <w:sz w:val="20"/>
        </w:rPr>
        <w:t/>
      </w:r>
    </w:p>
    <w:p>
      <w:pPr>
        <w:pStyle w:val="ab"/>
      </w:pPr>
      <w:r>
        <w:t>发言人1 问：银行的钱拿去炒股后，对银行的支付报表有何影响？</w:t>
      </w:r>
    </w:p>
    <w:p>
      <w:r>
        <w:rPr>
          <w:rFonts w:ascii="等线(中文正文)" w:hAnsi="等线(中文正文)" w:cs="等线(中文正文)" w:eastAsia="等线(中文正文)"/>
          <w:b w:val="false"/>
          <w:i w:val="false"/>
          <w:sz w:val="20"/>
        </w:rPr>
        <w:t>发言人1 答：当银行的定期存款被居民取出并投入股市时，这些资金会转变为证券公司的备付金，并进一步被托管在结算性银行中，形成银行的非银存款。因此，虽然表面上看银行的定存减少了，但实际上资金并未减少，而是通过证券公司备付金的形式间接回到了银行体系内。</w:t>
      </w:r>
    </w:p>
    <w:p>
      <w:r>
        <w:rPr>
          <w:rFonts w:ascii="等线(中文正文)" w:hAnsi="等线(中文正文)" w:cs="等线(中文正文)" w:eastAsia="等线(中文正文)"/>
          <w:b w:val="false"/>
          <w:i w:val="false"/>
          <w:sz w:val="20"/>
        </w:rPr>
        <w:t/>
      </w:r>
    </w:p>
    <w:p>
      <w:pPr>
        <w:pStyle w:val="ab"/>
      </w:pPr>
      <w:r>
        <w:t>发言人1 问：股市与债市之间的跷跷板效应是如何产生的？</w:t>
      </w:r>
    </w:p>
    <w:p>
      <w:r>
        <w:rPr>
          <w:rFonts w:ascii="等线(中文正文)" w:hAnsi="等线(中文正文)" w:cs="等线(中文正文)" w:eastAsia="等线(中文正文)"/>
          <w:b w:val="false"/>
          <w:i w:val="false"/>
          <w:sz w:val="20"/>
        </w:rPr>
        <w:t>发言人1 答：这种跷跷板现象是由于银行负债结构的变化导致的。当银行负债短期化和非银化时，相关流动性指标承压，使得偿债成交率减弱，从而产生曲线和偏动，进而解释了为何会出现股债跷跷板的现象。</w:t>
      </w:r>
    </w:p>
    <w:p>
      <w:r>
        <w:rPr>
          <w:rFonts w:ascii="等线(中文正文)" w:hAnsi="等线(中文正文)" w:cs="等线(中文正文)" w:eastAsia="等线(中文正文)"/>
          <w:b w:val="false"/>
          <w:i w:val="false"/>
          <w:sz w:val="20"/>
        </w:rPr>
        <w:t/>
      </w:r>
    </w:p>
    <w:p>
      <w:pPr>
        <w:pStyle w:val="ab"/>
      </w:pPr>
      <w:r>
        <w:t>发言人1 问：如果钱从银行流向非银领域，流动性会发生什么变化？</w:t>
      </w:r>
    </w:p>
    <w:p>
      <w:r>
        <w:rPr>
          <w:rFonts w:ascii="等线(中文正文)" w:hAnsi="等线(中文正文)" w:cs="等线(中文正文)" w:eastAsia="等线(中文正文)"/>
          <w:b w:val="false"/>
          <w:i w:val="false"/>
          <w:sz w:val="20"/>
        </w:rPr>
        <w:t>发言人1 答：当银行的资金进入非银领域时，例如非银居民赎回债基，这部分资产流动性相对偏慢。当出现支付缺口时，非银会短期向银行借钱以补充流动性。如果债基大量流入股市或其他非银资产，会导致非银的杠杆率提升。</w:t>
      </w:r>
    </w:p>
    <w:p>
      <w:r>
        <w:rPr>
          <w:rFonts w:ascii="等线(中文正文)" w:hAnsi="等线(中文正文)" w:cs="等线(中文正文)" w:eastAsia="等线(中文正文)"/>
          <w:b w:val="false"/>
          <w:i w:val="false"/>
          <w:sz w:val="20"/>
        </w:rPr>
        <w:t/>
      </w:r>
    </w:p>
    <w:p>
      <w:pPr>
        <w:pStyle w:val="ab"/>
      </w:pPr>
      <w:r>
        <w:t>发言人1 问：银行一季度购买债券规模较多的原因是什么？</w:t>
      </w:r>
    </w:p>
    <w:p>
      <w:r>
        <w:rPr>
          <w:rFonts w:ascii="等线(中文正文)" w:hAnsi="等线(中文正文)" w:cs="等线(中文正文)" w:eastAsia="等线(中文正文)"/>
          <w:b w:val="false"/>
          <w:i w:val="false"/>
          <w:sz w:val="20"/>
        </w:rPr>
        <w:t>发言人1 答：银行在经营过程中遵循特定规律——一季度库存量增长，二季度调结构。一季度时存款增长高于贷款，非银资金回表至银行；而二季度银行改善中收，理财力度增强，存贷差随之减少，导致一季度有钱配债，二季度非有钱配债，这是由银行主导的流动性变化造成的。</w:t>
      </w:r>
    </w:p>
    <w:p>
      <w:r>
        <w:rPr>
          <w:rFonts w:ascii="等线(中文正文)" w:hAnsi="等线(中文正文)" w:cs="等线(中文正文)" w:eastAsia="等线(中文正文)"/>
          <w:b w:val="false"/>
          <w:i w:val="false"/>
          <w:sz w:val="20"/>
        </w:rPr>
        <w:t/>
      </w:r>
    </w:p>
    <w:p>
      <w:pPr>
        <w:pStyle w:val="ab"/>
      </w:pPr>
      <w:r>
        <w:t>发言人1 问：银行发存单是否仅是为了不负债？</w:t>
      </w:r>
    </w:p>
    <w:p>
      <w:r>
        <w:rPr>
          <w:rFonts w:ascii="等线(中文正文)" w:hAnsi="等线(中文正文)" w:cs="等线(中文正文)" w:eastAsia="等线(中文正文)"/>
          <w:b w:val="false"/>
          <w:i w:val="false"/>
          <w:sz w:val="20"/>
        </w:rPr>
        <w:t>发言人1 答：存单发行规模与银行存款增量之间并无必然联系。银行发行存单的目的主要有三个：一是基于扩表诉求，二是应对存款流失，三是调指标的需求。在不同情况下，银行可能会根据自身的扩表需求、维持负债规模稳定或应对考核压力来选择发行存单。</w:t>
      </w:r>
    </w:p>
    <w:p>
      <w:r>
        <w:rPr>
          <w:rFonts w:ascii="等线(中文正文)" w:hAnsi="等线(中文正文)" w:cs="等线(中文正文)" w:eastAsia="等线(中文正文)"/>
          <w:b w:val="false"/>
          <w:i w:val="false"/>
          <w:sz w:val="20"/>
        </w:rPr>
        <w:t/>
      </w:r>
    </w:p>
    <w:p>
      <w:pPr>
        <w:pStyle w:val="ab"/>
      </w:pPr>
      <w:r>
        <w:t>发言人1 问：26年来存单发行的变化可以如何解释？</w:t>
      </w:r>
    </w:p>
    <w:p>
      <w:r>
        <w:rPr>
          <w:rFonts w:ascii="等线(中文正文)" w:hAnsi="等线(中文正文)" w:cs="等线(中文正文)" w:eastAsia="等线(中文正文)"/>
          <w:b w:val="false"/>
          <w:i w:val="false"/>
          <w:sz w:val="20"/>
        </w:rPr>
        <w:t>发言人1 答：26年来存单发行规模的变化主要是由于三个因素导致的：一是目前扩展诉求使得存单发行较少；二是存款流失对存单发行的拖累程度减弱；三是银行的EV97指标有所改善，综合这三个因素使得26年存单发行金融规模看似不高。</w:t>
      </w:r>
    </w:p>
    <w:p>
      <w:r>
        <w:rPr>
          <w:rFonts w:ascii="等线(中文正文)" w:hAnsi="等线(中文正文)" w:cs="等线(中文正文)" w:eastAsia="等线(中文正文)"/>
          <w:b w:val="false"/>
          <w:i w:val="false"/>
          <w:sz w:val="20"/>
        </w:rPr>
        <w:t/>
      </w:r>
    </w:p>
    <w:p>
      <w:pPr>
        <w:pStyle w:val="ab"/>
      </w:pPr>
      <w:r>
        <w:t>发言人1 问：银行存贷差走扩的原因是什么？</w:t>
      </w:r>
    </w:p>
    <w:p>
      <w:r>
        <w:rPr>
          <w:rFonts w:ascii="等线(中文正文)" w:hAnsi="等线(中文正文)" w:cs="等线(中文正文)" w:eastAsia="等线(中文正文)"/>
          <w:b w:val="false"/>
          <w:i w:val="false"/>
          <w:sz w:val="20"/>
        </w:rPr>
        <w:t>发言人1 答：市场上普遍认为贷款投放较差而存款增长较好是导致存贷差走扩的原因，但实际上这个解释并不准确。因为银行在发放贷款的同时会派生存款，所以存贷差不会受到贷款投放的影响。例如，若经济体内有100元，银行发放80万贷款的同时也会派生出80万元存款，因此存贷差实际上是180减去80仍等于100元。</w:t>
      </w:r>
    </w:p>
    <w:p>
      <w:r>
        <w:rPr>
          <w:rFonts w:ascii="等线(中文正文)" w:hAnsi="等线(中文正文)" w:cs="等线(中文正文)" w:eastAsia="等线(中文正文)"/>
          <w:b w:val="false"/>
          <w:i w:val="false"/>
          <w:sz w:val="20"/>
        </w:rPr>
        <w:t/>
      </w:r>
    </w:p>
    <w:p>
      <w:pPr>
        <w:pStyle w:val="ab"/>
      </w:pPr>
      <w:r>
        <w:t>发言人1 问：那么存贷差可能会受到哪些因素影响呢？</w:t>
      </w:r>
    </w:p>
    <w:p>
      <w:r>
        <w:rPr>
          <w:rFonts w:ascii="等线(中文正文)" w:hAnsi="等线(中文正文)" w:cs="等线(中文正文)" w:eastAsia="等线(中文正文)"/>
          <w:b w:val="false"/>
          <w:i w:val="false"/>
          <w:sz w:val="20"/>
        </w:rPr>
        <w:t>发言人1 答：存贷差受到六个因素的影响，包括现金、准备金、债券、投资、同业资产和贷款这五个资产科目，以及存款、同业负债和发行债券这三项负债科目。其中，存贷差主要由现金、准备金、黄金资产、战略投资、发行债券和资本这六个因素决定。</w:t>
      </w:r>
    </w:p>
    <w:p>
      <w:r>
        <w:rPr>
          <w:rFonts w:ascii="等线(中文正文)" w:hAnsi="等线(中文正文)" w:cs="等线(中文正文)" w:eastAsia="等线(中文正文)"/>
          <w:b w:val="false"/>
          <w:i w:val="false"/>
          <w:sz w:val="20"/>
        </w:rPr>
        <w:t/>
      </w:r>
    </w:p>
    <w:p>
      <w:pPr>
        <w:pStyle w:val="ab"/>
      </w:pPr>
      <w:r>
        <w:t>发言人1 问：在这些因素中，重点的三个影响因素是什么？</w:t>
      </w:r>
    </w:p>
    <w:p>
      <w:r>
        <w:rPr>
          <w:rFonts w:ascii="等线(中文正文)" w:hAnsi="等线(中文正文)" w:cs="等线(中文正文)" w:eastAsia="等线(中文正文)"/>
          <w:b w:val="false"/>
          <w:i w:val="false"/>
          <w:sz w:val="20"/>
        </w:rPr>
        <w:t>发言人1 答：第一个重点因素是非银资金对银行的拆借，当非银资金流动性较差时，会阶段性地向银行融入资金，导致存贷差走扩。第二个重点因素是债券对贷款的替代效应，比如企业通过发债融资而非借款，使得负债端存款增加而资产端贷款未增加。第三个重点因素是非银资金回表，每年一季度非银资金会整体回表至银行，同样造成存贷差走扩。</w:t>
      </w:r>
    </w:p>
    <w:p>
      <w:r>
        <w:rPr>
          <w:rFonts w:ascii="等线(中文正文)" w:hAnsi="等线(中文正文)" w:cs="等线(中文正文)" w:eastAsia="等线(中文正文)"/>
          <w:b w:val="false"/>
          <w:i w:val="false"/>
          <w:sz w:val="20"/>
        </w:rPr>
        <w:t/>
      </w:r>
    </w:p>
    <w:p>
      <w:pPr>
        <w:pStyle w:val="ab"/>
      </w:pPr>
      <w:r>
        <w:t>发言人1 问：今年1到4月份存贷差走扩的原因具体有哪些？</w:t>
      </w:r>
    </w:p>
    <w:p>
      <w:r>
        <w:rPr>
          <w:rFonts w:ascii="等线(中文正文)" w:hAnsi="等线(中文正文)" w:cs="等线(中文正文)" w:eastAsia="等线(中文正文)"/>
          <w:b w:val="false"/>
          <w:i w:val="false"/>
          <w:sz w:val="20"/>
        </w:rPr>
        <w:t>发言人1 答：今年1到3月份存贷差走扩的原因主要有三个方面：61.08%是因为债券对贷款替代效应增强，企业更多选择发债融资；其次是非银资金回表，每年一季度非银资金整体回表至银行；第三个因素是银行在非银资金回表过程中通过同业净资产拆出，对非银短期规模增长起到一定贡献。总体来看，存贷差走扩主要是由于战略对贷款的替代和非银资金回表两个主要原因。</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2026-05-13T16:41:54Z</dcterms:created>
  <dc:creator>Apache POI</dc:creator>
</cp:coreProperties>
</file>