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方正证券  方正TMT周周谈：AI生态系列汇报 260510_导读</w:t>
      </w:r>
    </w:p>
    <w:p>
      <w:pPr>
        <w:pStyle w:val="a0"/>
        <w:jc w:val="center"/>
      </w:pPr>
      <w:r>
        <w:t>2026年05月10日 23:20</w:t>
      </w:r>
    </w:p>
    <w:p>
      <w:pPr>
        <w:pStyle w:val="a7"/>
      </w:pPr>
      <w:r>
        <w:t>关键词</w:t>
      </w:r>
    </w:p>
    <w:p>
      <w:r>
        <w:rPr>
          <w:rFonts w:ascii="等线(中文正文)" w:hAnsi="等线(中文正文)" w:cs="等线(中文正文)" w:eastAsia="等线(中文正文)"/>
          <w:b w:val="false"/>
          <w:i w:val="false"/>
          <w:sz w:val="20"/>
        </w:rPr>
        <w:t xml:space="preserve">AI 硬件 算力 电子 连接单元 光模块 立讯精密 东山精密 PCB 异能板块 液冷 恒富汉 中石科技 强瑞技术 福利旺 恒铭达 春秋电子 国产算力 海外链 浪潮信息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方正证券举办了一场专为专业投资机构客户和受邀人士设计的周周谈电话会议，主题集中在AI软硬件生态上，涉及AI硬件进展、算力租赁服务及国产算力产业链的未来展望。会议强调了AI技术在各细分领域创造的确定性投资机遇，同时突出了TMT行业在构建AI生态系统中的核心作用。特别提醒，所有讨论观点仅代表个人，不构成投资建议，并需遵守相关监管，禁止分享敏感或内幕信息。会议还警示未授权录音、纪要制作及信息传播行为，保护方正证券的法律权益。</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AI软硬件生态投资机会探讨</w:t>
      </w:r>
    </w:p>
    <w:p>
      <w:r>
        <w:rPr>
          <w:rFonts w:ascii="等线(中文正文)" w:hAnsi="等线(中文正文)" w:cs="等线(中文正文)" w:eastAsia="等线(中文正文)"/>
          <w:b w:val="false"/>
          <w:i w:val="false"/>
          <w:sz w:val="20"/>
        </w:rPr>
        <w:t>会议围绕AI软硬件生态的投资机会展开，强调了AI主线对市场的积极影响，尽管短期内可能有波动，但整体趋势看好，建议投资者把握主线龙头标的的配置机会。</w:t>
      </w:r>
    </w:p>
    <w:p>
      <w:r>
        <w:rPr>
          <w:rFonts w:ascii="等线(中文正文)" w:hAnsi="等线(中文正文)" w:cs="等线(中文正文)" w:eastAsia="等线(中文正文)"/>
          <w:b w:val="false"/>
          <w:i w:val="false"/>
          <w:sz w:val="20"/>
        </w:rPr>
        <w:t/>
      </w:r>
    </w:p>
    <w:p>
      <w:pPr>
        <w:pStyle w:val="ab"/>
        <w:numPr>
          <w:numId w:val="2"/>
        </w:numPr>
      </w:pPr>
      <w:r>
        <w:t>04:02 AI硬件板块投资策略与核心推荐</w:t>
      </w:r>
    </w:p>
    <w:p>
      <w:r>
        <w:rPr>
          <w:rFonts w:ascii="等线(中文正文)" w:hAnsi="等线(中文正文)" w:cs="等线(中文正文)" w:eastAsia="等线(中文正文)"/>
          <w:b w:val="false"/>
          <w:i w:val="false"/>
          <w:sz w:val="20"/>
        </w:rPr>
        <w:t>会议聚焦AI硬件板块的投资策略，强调了算力基建、连接单元、PCB及液冷等细分方向的核心标的。推荐东山精密、立讯精密、盛弘和护垫等龙头标的，同时关注PCB板块的边际改善与液冷板块的技术突破，建议投资者基于基本面、估值与产业趋势的三要素进行配置，看好AI硬件对电子板块的持续拉动作用。</w:t>
      </w:r>
    </w:p>
    <w:p>
      <w:r>
        <w:rPr>
          <w:rFonts w:ascii="等线(中文正文)" w:hAnsi="等线(中文正文)" w:cs="等线(中文正文)" w:eastAsia="等线(中文正文)"/>
          <w:b w:val="false"/>
          <w:i w:val="false"/>
          <w:sz w:val="20"/>
        </w:rPr>
        <w:t/>
      </w:r>
    </w:p>
    <w:p>
      <w:pPr>
        <w:pStyle w:val="ab"/>
        <w:numPr>
          <w:numId w:val="3"/>
        </w:numPr>
      </w:pPr>
      <w:r>
        <w:t>12:15 算力产业链分析与投资观点更新</w:t>
      </w:r>
    </w:p>
    <w:p>
      <w:r>
        <w:rPr>
          <w:rFonts w:ascii="等线(中文正文)" w:hAnsi="等线(中文正文)" w:cs="等线(中文正文)" w:eastAsia="等线(中文正文)"/>
          <w:b w:val="false"/>
          <w:i w:val="false"/>
          <w:sz w:val="20"/>
        </w:rPr>
        <w:t>对话内容围绕算力产业链的投资观点展开，重点分析了国产算力和海外算力的市场机遇。过去一个多月，国产算力板块涨幅显著，涵盖CPU、GPU及租赁环节。展望未来，海外算力链的边际变化，如H200芯片可能的市场准入，将利好国内企业。国产算力需求旺盛，预测至2030年token调用量将增长24倍，国内厂商能力进步显著，设计层面与海外差距缩小，生态建设完善，形成良性循环。整体看好国产算力产业链中长期发展。</w:t>
      </w:r>
    </w:p>
    <w:p>
      <w:r>
        <w:rPr>
          <w:rFonts w:ascii="等线(中文正文)" w:hAnsi="等线(中文正文)" w:cs="等线(中文正文)" w:eastAsia="等线(中文正文)"/>
          <w:b w:val="false"/>
          <w:i w:val="false"/>
          <w:sz w:val="20"/>
        </w:rPr>
        <w:t/>
      </w:r>
    </w:p>
    <w:p>
      <w:pPr>
        <w:pStyle w:val="ab"/>
        <w:numPr>
          <w:numId w:val="4"/>
        </w:numPr>
      </w:pPr>
      <w:r>
        <w:t>17:13 科技公司财报超预期与市场分化分析</w:t>
      </w:r>
    </w:p>
    <w:p>
      <w:r>
        <w:rPr>
          <w:rFonts w:ascii="等线(中文正文)" w:hAnsi="等线(中文正文)" w:cs="等线(中文正文)" w:eastAsia="等线(中文正文)"/>
          <w:b w:val="false"/>
          <w:i w:val="false"/>
          <w:sz w:val="20"/>
        </w:rPr>
        <w:t>对话讨论了中芯、华虹等标杆性公司在GPU ASIC领域的表现，以及商品租赁和供应链公司的发展趋势。重点提到应用链公司的财报超预期，带动股价回升，市场开始分化，部分公司业绩上升，商业模式重构。强调通过财报和商业化挑战两条路径观察公司表现。</w:t>
      </w:r>
    </w:p>
    <w:p>
      <w:r>
        <w:rPr>
          <w:rFonts w:ascii="等线(中文正文)" w:hAnsi="等线(中文正文)" w:cs="等线(中文正文)" w:eastAsia="等线(中文正文)"/>
          <w:b w:val="false"/>
          <w:i w:val="false"/>
          <w:sz w:val="20"/>
        </w:rPr>
        <w:t/>
      </w:r>
    </w:p>
    <w:p>
      <w:pPr>
        <w:pStyle w:val="ab"/>
        <w:numPr>
          <w:numId w:val="5"/>
        </w:numPr>
      </w:pPr>
      <w:r>
        <w:t>21:41 算力与应用端新机遇：字节跳动在MaaS市场的领先地位</w:t>
      </w:r>
    </w:p>
    <w:p>
      <w:r>
        <w:rPr>
          <w:rFonts w:ascii="等线(中文正文)" w:hAnsi="等线(中文正文)" w:cs="等线(中文正文)" w:eastAsia="等线(中文正文)"/>
          <w:b w:val="false"/>
          <w:i w:val="false"/>
          <w:sz w:val="20"/>
        </w:rPr>
        <w:t>对话探讨了算力和应用端的新变化及投资机会，强调了商业化路径与分化演进的关系。SAP关闭API接口被视为行业壁垒的象征，而字节跳动在MaaS市场的份额增长至49.7%，展示了其在资源机制下的优势。内容产业，尤其是视频创作领域，受到tokens消耗的影响，红果平台通过免费加广告模式实现快速变现，体现了多模态创作和次元经济的重要性。投资者被鼓励关注具有场景优势、数据壁垒和用户粘性的公司。</w:t>
      </w:r>
    </w:p>
    <w:p>
      <w:r>
        <w:rPr>
          <w:rFonts w:ascii="等线(中文正文)" w:hAnsi="等线(中文正文)" w:cs="等线(中文正文)" w:eastAsia="等线(中文正文)"/>
          <w:b w:val="false"/>
          <w:i w:val="false"/>
          <w:sz w:val="20"/>
        </w:rPr>
        <w:t/>
      </w:r>
    </w:p>
    <w:p>
      <w:pPr>
        <w:pStyle w:val="ab"/>
        <w:numPr>
          <w:numId w:val="6"/>
        </w:numPr>
      </w:pPr>
      <w:r>
        <w:t>26:30 AI内容产品：分发能力成为新核心竞争力</w:t>
      </w:r>
    </w:p>
    <w:p>
      <w:r>
        <w:rPr>
          <w:rFonts w:ascii="等线(中文正文)" w:hAnsi="等线(中文正文)" w:cs="等线(中文正文)" w:eastAsia="等线(中文正文)"/>
          <w:b w:val="false"/>
          <w:i w:val="false"/>
          <w:sz w:val="20"/>
        </w:rPr>
        <w:t>讨论了AI内容产品未来的核心竞争力将从内容转向分发能力，强调在AIGC工具支持下，创作者需升级为全模式创作者，以快速、广泛分发内容。分发环节的重要性凸显，平台竞争关键在于高效连接分发与消费路径变现，多模态创作与分发成为资源经济趋势下的重要方向。</w:t>
      </w:r>
    </w:p>
    <w:p>
      <w:r>
        <w:rPr>
          <w:rFonts w:ascii="等线(中文正文)" w:hAnsi="等线(中文正文)" w:cs="等线(中文正文)" w:eastAsia="等线(中文正文)"/>
          <w:b w:val="false"/>
          <w:i w:val="false"/>
          <w:sz w:val="20"/>
        </w:rPr>
        <w:t/>
      </w:r>
    </w:p>
    <w:p>
      <w:pPr>
        <w:pStyle w:val="ab"/>
        <w:numPr>
          <w:numId w:val="7"/>
        </w:numPr>
      </w:pPr>
      <w:r>
        <w:t>29:18 AIDC产业链新动态：超节点与资本开支上调</w:t>
      </w:r>
    </w:p>
    <w:p>
      <w:r>
        <w:rPr>
          <w:rFonts w:ascii="等线(中文正文)" w:hAnsi="等线(中文正文)" w:cs="等线(中文正文)" w:eastAsia="等线(中文正文)"/>
          <w:b w:val="false"/>
          <w:i w:val="false"/>
          <w:sz w:val="20"/>
        </w:rPr>
        <w:t>分享了国内AIDC产业链最新观点，重点讨论了字节资本开支上调至2500亿，推动AIDC产业链逻辑闭环。从超节点视角分析，强调了交换机、交换芯片及服务器的投资价值，指出超节点在推理效率上的显著优势，以及对服务器行业利润率可能带来的改善。</w:t>
      </w:r>
    </w:p>
    <w:p>
      <w:r>
        <w:rPr>
          <w:rFonts w:ascii="等线(中文正文)" w:hAnsi="等线(中文正文)" w:cs="等线(中文正文)" w:eastAsia="等线(中文正文)"/>
          <w:b w:val="false"/>
          <w:i w:val="false"/>
          <w:sz w:val="20"/>
        </w:rPr>
        <w:t/>
      </w:r>
    </w:p>
    <w:p>
      <w:pPr>
        <w:pStyle w:val="ab"/>
        <w:numPr>
          <w:numId w:val="8"/>
        </w:numPr>
      </w:pPr>
      <w:r>
        <w:t>35:01 AIDC产业链新趋势：超节点、算力租赁与国产算力</w:t>
      </w:r>
    </w:p>
    <w:p>
      <w:r>
        <w:rPr>
          <w:rFonts w:ascii="等线(中文正文)" w:hAnsi="等线(中文正文)" w:cs="等线(中文正文)" w:eastAsia="等线(中文正文)"/>
          <w:b w:val="false"/>
          <w:i w:val="false"/>
          <w:sz w:val="20"/>
        </w:rPr>
        <w:t>会议重点讨论了国内AIDC产业链的三大趋势，包括超节点在大模型训练中的优势、算力租赁行业商业模式的成熟与长期潜力，以及国产算力因IDC储备增加和国产GPU产能放量而展现的爆发力。强调了资本开支波动和国产算力节奏的不确定性风险，推荐关注上述三个方向。</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首先强调了会议的非敏感性和纯信息交流性质，明确所有发言代表分享的观点仅属个人观点，不构成投资建议。他提醒与会者需遵守监管规定，不得泄露敏感信息。随后，他对听众的参与表示感谢，并对专业投资机构和第三方专家表示欢迎。他强调了AI生态及软硬件生态对于TMT行业发展的推动作用，并回顾了上周市场表现，指出AI概念仍是投资热点。他介绍了会议议程，安排了多场关于AI硬件、算力产业链、传媒互联网及AIDC产业链的深入讨论。发言最后，他分享了对未来投资趋势的看法，呼吁投资者关注相关领域投资机会，同时提醒注意投资风险。</w:t>
      </w:r>
    </w:p>
    <w:p>
      <w:r>
        <w:rPr>
          <w:rFonts w:ascii="等线(中文正文)" w:hAnsi="等线(中文正文)" w:cs="等线(中文正文)" w:eastAsia="等线(中文正文)"/>
          <w:b w:val="false"/>
          <w:i w:val="false"/>
          <w:sz w:val="20"/>
        </w:rPr>
        <w:t/>
      </w:r>
    </w:p>
    <w:p>
      <w:pPr>
        <w:pStyle w:val="a7"/>
      </w:pPr>
      <w:r>
        <w:t>要点回顾</w:t>
      </w:r>
    </w:p>
    <w:p>
      <w:pPr>
        <w:pStyle w:val="ab"/>
      </w:pPr>
      <w:r>
        <w:t>本次会议的目标和信息保密要求是什么？</w:t>
      </w:r>
    </w:p>
    <w:p>
      <w:r>
        <w:rPr>
          <w:rFonts w:ascii="等线(中文正文)" w:hAnsi="等线(中文正文)" w:cs="等线(中文正文)" w:eastAsia="等线(中文正文)"/>
          <w:b w:val="false"/>
          <w:i w:val="false"/>
          <w:sz w:val="20"/>
        </w:rPr>
        <w:t>发言人1：本次会议的目标是向方正证券的专业投资机构客户或受邀客户提供AI软硬件生态系列汇报，帮助他们在各自细分领域寻找最确定的投资方向和机会。同时，会议强调根据监管规定，不得交流敏感或内幕信息，并明确指出未经方正证券书面许可，任何机构或个人严禁录音、制作纪要、转发等行为，以保护信息保密性。</w:t>
      </w:r>
    </w:p>
    <w:p>
      <w:r>
        <w:rPr>
          <w:rFonts w:ascii="等线(中文正文)" w:hAnsi="等线(中文正文)" w:cs="等线(中文正文)" w:eastAsia="等线(中文正文)"/>
          <w:b w:val="false"/>
          <w:i w:val="false"/>
          <w:sz w:val="20"/>
        </w:rPr>
        <w:t/>
      </w:r>
    </w:p>
    <w:p>
      <w:pPr>
        <w:pStyle w:val="ab"/>
      </w:pPr>
      <w:r>
        <w:t>方正TMT团队周周谈电话会的核心内容和目标是什么？本次电话会的四个部分分别由哪些团队负责，以及他们的主要关注点是什么？</w:t>
      </w:r>
    </w:p>
    <w:p>
      <w:r>
        <w:rPr>
          <w:rFonts w:ascii="等线(中文正文)" w:hAnsi="等线(中文正文)" w:cs="等线(中文正文)" w:eastAsia="等线(中文正文)"/>
          <w:b w:val="false"/>
          <w:i w:val="false"/>
          <w:sz w:val="20"/>
        </w:rPr>
        <w:t>发言人1：周周谈电话会主要聚焦于AI生态的进步与投资机会，从基础设施建设、硬件终端应用，到内容和核心架构大模型的进步升级以及终端应用端的内容创新需求等方面进行分析。团队旨在帮助投资者把握在AI主线驱动下整个产业的拉动和影响，并持续推荐整个TMT视角下的AI生态投资机会。本次电话会分为四个部分：电子角度由马天翼汇报AI硬件的重点方向和核心标的，强调算力基建领域的投资机会；计算机角度由刘雄老师介绍算力应用板块，包括海外链和国产链的相关观点和推荐；传媒互联网方面，焦娟老师将分享资源经济下token经济对于内容分发变现的变化研究；通信团队的林亮亮老师则从通信角度过渡到国内AIDC产业链，进行更新和推荐。</w:t>
      </w:r>
    </w:p>
    <w:p>
      <w:r>
        <w:rPr>
          <w:rFonts w:ascii="等线(中文正文)" w:hAnsi="等线(中文正文)" w:cs="等线(中文正文)" w:eastAsia="等线(中文正文)"/>
          <w:b w:val="false"/>
          <w:i w:val="false"/>
          <w:sz w:val="20"/>
        </w:rPr>
        <w:t/>
      </w:r>
    </w:p>
    <w:p>
      <w:pPr>
        <w:pStyle w:val="ab"/>
      </w:pPr>
      <w:r>
        <w:t>对于近期AI板块大涨后的市场波动如何看待？</w:t>
      </w:r>
    </w:p>
    <w:p>
      <w:r>
        <w:rPr>
          <w:rFonts w:ascii="等线(中文正文)" w:hAnsi="等线(中文正文)" w:cs="等线(中文正文)" w:eastAsia="等线(中文正文)"/>
          <w:b w:val="false"/>
          <w:i w:val="false"/>
          <w:sz w:val="20"/>
        </w:rPr>
        <w:t>发言人1：短期内，AI板块大涨后的回调是正常的市场现象。尽管市场可能会出现短期波动，但团队基于对AI生态持续加速建设和完善的观察，对整个AI产业的大板块机会持坚定看好态度，并将持续推荐。即使面临短期波动，也认为这是积极加仓的机会。</w:t>
      </w:r>
    </w:p>
    <w:p>
      <w:r>
        <w:rPr>
          <w:rFonts w:ascii="等线(中文正文)" w:hAnsi="等线(中文正文)" w:cs="等线(中文正文)" w:eastAsia="等线(中文正文)"/>
          <w:b w:val="false"/>
          <w:i w:val="false"/>
          <w:sz w:val="20"/>
        </w:rPr>
        <w:t/>
      </w:r>
    </w:p>
    <w:p>
      <w:pPr>
        <w:pStyle w:val="ab"/>
      </w:pPr>
      <w:r>
        <w:t>AI硬件板块中连接单元方向的主要推荐标的及其理由是什么？</w:t>
      </w:r>
    </w:p>
    <w:p>
      <w:r>
        <w:rPr>
          <w:rFonts w:ascii="等线(中文正文)" w:hAnsi="等线(中文正文)" w:cs="等线(中文正文)" w:eastAsia="等线(中文正文)"/>
          <w:b w:val="false"/>
          <w:i w:val="false"/>
          <w:sz w:val="20"/>
        </w:rPr>
        <w:t>发言人1：在AI硬件板块的连接单元细分方向，重点推荐东山精密和立讯精密两大龙头标的。这两家公司业绩优秀，估值较低，且其布局与产业趋势相辅相成，未来成长空间明确。其中，东山精密作为光模块领域的弹性品种，具备明显的进攻性；而立讯精密在5000亿市值左右的位置，估值具有性价比，不仅现有连接器、结构件等业务有望受益于核心客户的支持，还有液冷、光快等多元化的拓展空间，因此有望成为AI电子硬件板块的标配标的。</w:t>
      </w:r>
    </w:p>
    <w:p>
      <w:r>
        <w:rPr>
          <w:rFonts w:ascii="等线(中文正文)" w:hAnsi="等线(中文正文)" w:cs="等线(中文正文)" w:eastAsia="等线(中文正文)"/>
          <w:b w:val="false"/>
          <w:i w:val="false"/>
          <w:sz w:val="20"/>
        </w:rPr>
        <w:t/>
      </w:r>
    </w:p>
    <w:p>
      <w:pPr>
        <w:pStyle w:val="ab"/>
      </w:pPr>
      <w:r>
        <w:t>在AI硬件板块中，您对PCB板块的未来发展持怎样的看法？</w:t>
      </w:r>
    </w:p>
    <w:p>
      <w:r>
        <w:rPr>
          <w:rFonts w:ascii="等线(中文正文)" w:hAnsi="等线(中文正文)" w:cs="等线(中文正文)" w:eastAsia="等线(中文正文)"/>
          <w:b w:val="false"/>
          <w:i w:val="false"/>
          <w:sz w:val="20"/>
        </w:rPr>
        <w:t>发言人1：我们认为PCB板块在一季度已展现出良好的业绩，这得益于自身产能扩产、产品结构调整以及上游原材料成本压力的综合影响。随着需求持续释放、产能爬坡以及核心客户订单加速，尤其是以AI属性为代表的PCB板块将呈现加速向上的趋势。此外，还有持续创新的技术支撑，使得PCB板块从二季度开始成为重点配置的龙头标的。其中，盛弘和护垫等公司的股价表现不错，同时二三线标的中具备边际改善或差异化竞争优势的公司也值得投资者关注，例如广和科技和适应电路等PCB公司。</w:t>
      </w:r>
    </w:p>
    <w:p>
      <w:r>
        <w:rPr>
          <w:rFonts w:ascii="等线(中文正文)" w:hAnsi="等线(中文正文)" w:cs="等线(中文正文)" w:eastAsia="等线(中文正文)"/>
          <w:b w:val="false"/>
          <w:i w:val="false"/>
          <w:sz w:val="20"/>
        </w:rPr>
        <w:t/>
      </w:r>
    </w:p>
    <w:p>
      <w:pPr>
        <w:pStyle w:val="ab"/>
      </w:pPr>
      <w:r>
        <w:t>对于异能板块，您的投资策略是什么？您认为液冷板块有哪些投资机会？</w:t>
      </w:r>
    </w:p>
    <w:p>
      <w:r>
        <w:rPr>
          <w:rFonts w:ascii="等线(中文正文)" w:hAnsi="等线(中文正文)" w:cs="等线(中文正文)" w:eastAsia="等线(中文正文)"/>
          <w:b w:val="false"/>
          <w:i w:val="false"/>
          <w:sz w:val="20"/>
        </w:rPr>
        <w:t>发言人1：我们持续坚定看好异能板块，其贝塔值表现良好。海外科技大厂对于热管理技术升级的需求增加，以及越来越多电子公司加入液冷板块布局，显示出整个板块产业景气度较高。在筛选标的时，今年应关注业绩和订单确定性较强且有足够突破的公司。例如，推荐恒富汉，一季报超预期，二季度有望迎来液冷核心订单的持续释放；中石科技在光模块领域也有持续突破。此外，还包括强瑞技术、福利旺以及传统消费电子公司在液冷板块的布局。液冷板块中，恒铭达、春秋电子等公司规模虽不大，但在各自领域拥有核心客户和技术突破，未来潜在弹性较大。我们在液冷板块挑选的主要是一些具备高弹性、基于业绩确定性、技术和客户订单确定性的标的。例如，根据以上标准筛选出的部分公司，在二三季度有望取得突破，供投资者参考。</w:t>
      </w:r>
    </w:p>
    <w:p>
      <w:r>
        <w:rPr>
          <w:rFonts w:ascii="等线(中文正文)" w:hAnsi="等线(中文正文)" w:cs="等线(中文正文)" w:eastAsia="等线(中文正文)"/>
          <w:b w:val="false"/>
          <w:i w:val="false"/>
          <w:sz w:val="20"/>
        </w:rPr>
        <w:t/>
      </w:r>
    </w:p>
    <w:p>
      <w:pPr>
        <w:pStyle w:val="ab"/>
      </w:pPr>
      <w:r>
        <w:t>对于算力产业链，您有什么最新观点？</w:t>
      </w:r>
    </w:p>
    <w:p>
      <w:r>
        <w:rPr>
          <w:rFonts w:ascii="等线(中文正文)" w:hAnsi="等线(中文正文)" w:cs="等线(中文正文)" w:eastAsia="等线(中文正文)"/>
          <w:b w:val="false"/>
          <w:i w:val="false"/>
          <w:sz w:val="20"/>
        </w:rPr>
        <w:t>发言人1：我们近期强调国产算力链的投资机遇，过去一个多月该板块涨幅显著，CPU、GPU以及租赁环节及其零部件环节都有不错的表现，符合我们之前的预判和推荐。同时，海外市场也有边际变化，比如高层互访、H200海外芯片可能有条件放开进入中国市场等，这将对国内做海外生意的相关公司带来边际改善。浪潮信息作为全球第三大服务器厂商，与海外GPU厂商NVIDIA和CPU厂商英特尔有 strong合作关系，当前供需态势良好，有望从中受益。</w:t>
      </w:r>
    </w:p>
    <w:p>
      <w:r>
        <w:rPr>
          <w:rFonts w:ascii="等线(中文正文)" w:hAnsi="等线(中文正文)" w:cs="等线(中文正文)" w:eastAsia="等线(中文正文)"/>
          <w:b w:val="false"/>
          <w:i w:val="false"/>
          <w:sz w:val="20"/>
        </w:rPr>
        <w:t/>
      </w:r>
    </w:p>
    <w:p>
      <w:pPr>
        <w:pStyle w:val="ab"/>
      </w:pPr>
      <w:r>
        <w:t>在国产链方面，您是否有所调整投资建议？</w:t>
      </w:r>
    </w:p>
    <w:p>
      <w:r>
        <w:rPr>
          <w:rFonts w:ascii="等线(中文正文)" w:hAnsi="等线(中文正文)" w:cs="等线(中文正文)" w:eastAsia="等线(中文正文)"/>
          <w:b w:val="false"/>
          <w:i w:val="false"/>
          <w:sz w:val="20"/>
        </w:rPr>
        <w:t>发言人1：尽管海外链的变化可能导致国产链出现一些松动，但我们仍然坚定推荐国产链。需求方面，整体需求非常旺盛，高盛预测2030年全球token调用量将达到120千万亿，较2020年的数据增长24倍，这是所有细分领域中增长最高的。国内方面，无论是工信部数据还是互联网大厂公布的数据，增速都非常显著，显示出强劲的需求信号。供给端，国内下游厂商制造能力进步明显，未来扩产动作也非常显著，为国产链上游公司提供了有力支撑。</w:t>
      </w:r>
    </w:p>
    <w:p>
      <w:r>
        <w:rPr>
          <w:rFonts w:ascii="等线(中文正文)" w:hAnsi="等线(中文正文)" w:cs="等线(中文正文)" w:eastAsia="等线(中文正文)"/>
          <w:b w:val="false"/>
          <w:i w:val="false"/>
          <w:sz w:val="20"/>
        </w:rPr>
        <w:t/>
      </w:r>
    </w:p>
    <w:p>
      <w:pPr>
        <w:pStyle w:val="ab"/>
      </w:pPr>
      <w:r>
        <w:t>国产链在过去的1-1.5年内在哪些方面取得了显著进步，并且与海外的差距如何？</w:t>
      </w:r>
    </w:p>
    <w:p>
      <w:r>
        <w:rPr>
          <w:rFonts w:ascii="等线(中文正文)" w:hAnsi="等线(中文正文)" w:cs="等线(中文正文)" w:eastAsia="等线(中文正文)"/>
          <w:b w:val="false"/>
          <w:i w:val="false"/>
          <w:sz w:val="20"/>
        </w:rPr>
        <w:t>发言人1：国产链在设计层面，尤其是GPU和ASIC方面，过去1-1.5年内取得了显著进步，与海外的差距逐步缩小。在超节点能力上，很多细分指标上已经能够与海外媲美，甚至在某些环节领先。此外，生态建设方面也有所突破，例如tip sak V4和美团模型开始在国产芯片上原生适配和设计，预计下半年会有全面的国产模型基于国产训练铺开，形成一个强强联合的沸腾效应。</w:t>
      </w:r>
    </w:p>
    <w:p>
      <w:r>
        <w:rPr>
          <w:rFonts w:ascii="等线(中文正文)" w:hAnsi="等线(中文正文)" w:cs="等线(中文正文)" w:eastAsia="等线(中文正文)"/>
          <w:b w:val="false"/>
          <w:i w:val="false"/>
          <w:sz w:val="20"/>
        </w:rPr>
        <w:t/>
      </w:r>
    </w:p>
    <w:p>
      <w:pPr>
        <w:pStyle w:val="ab"/>
      </w:pPr>
      <w:r>
        <w:t>国产芯片相关的推荐公司有哪些？</w:t>
      </w:r>
    </w:p>
    <w:p>
      <w:r>
        <w:rPr>
          <w:rFonts w:ascii="等线(中文正文)" w:hAnsi="等线(中文正文)" w:cs="等线(中文正文)" w:eastAsia="等线(中文正文)"/>
          <w:b w:val="false"/>
          <w:i w:val="false"/>
          <w:sz w:val="20"/>
        </w:rPr>
        <w:t>发言人1：推荐的国产芯片公司包括中芯、华虹等Foundry企业，以及寒武纪、海光、摩尔地震、昆仑芯、平头哥等GPU或GPGPU、ASIC的核心标的。</w:t>
      </w:r>
    </w:p>
    <w:p>
      <w:r>
        <w:rPr>
          <w:rFonts w:ascii="等线(中文正文)" w:hAnsi="等线(中文正文)" w:cs="等线(中文正文)" w:eastAsia="等线(中文正文)"/>
          <w:b w:val="false"/>
          <w:i w:val="false"/>
          <w:sz w:val="20"/>
        </w:rPr>
        <w:t/>
      </w:r>
    </w:p>
    <w:p>
      <w:pPr>
        <w:pStyle w:val="ab"/>
      </w:pPr>
      <w:r>
        <w:t>商品租赁领域有哪些值得关注的公司？</w:t>
      </w:r>
    </w:p>
    <w:p>
      <w:r>
        <w:rPr>
          <w:rFonts w:ascii="等线(中文正文)" w:hAnsi="等线(中文正文)" w:cs="等线(中文正文)" w:eastAsia="等线(中文正文)"/>
          <w:b w:val="false"/>
          <w:i w:val="false"/>
          <w:sz w:val="20"/>
        </w:rPr>
        <w:t>发言人1：商品租赁领域中，主要有两类公司值得关注：一类是与大厂紧密合作且有持续需求确定性的公司；另一类是在资源方面有优势的公司，如鼎龙股份、协创等。</w:t>
      </w:r>
    </w:p>
    <w:p>
      <w:r>
        <w:rPr>
          <w:rFonts w:ascii="等线(中文正文)" w:hAnsi="等线(中文正文)" w:cs="等线(中文正文)" w:eastAsia="等线(中文正文)"/>
          <w:b w:val="false"/>
          <w:i w:val="false"/>
          <w:sz w:val="20"/>
        </w:rPr>
        <w:t/>
      </w:r>
    </w:p>
    <w:p>
      <w:pPr>
        <w:pStyle w:val="ab"/>
      </w:pPr>
      <w:r>
        <w:t>供应链相关公司中有哪些增长势头较好的潜在标的？近期应用链的表现及其重要性为何？</w:t>
      </w:r>
    </w:p>
    <w:p>
      <w:r>
        <w:rPr>
          <w:rFonts w:ascii="等线(中文正文)" w:hAnsi="等线(中文正文)" w:cs="等线(中文正文)" w:eastAsia="等线(中文正文)"/>
          <w:b w:val="false"/>
          <w:i w:val="false"/>
          <w:sz w:val="20"/>
        </w:rPr>
        <w:t>发言人1：供应链相关公司中，诸如盛产股份、华丰科技、航天电器等公司在元件年利息这一块表现较为突出，增长趋势良好，是值得关注的潜在标的。近期应用链的表现与算力形成鲜明对比，尤其美股和A股回调幅度较大。但观察到近期美股和A股部分应用公司发布财报，业绩不仅未低于预期，反而超预期，带动股价回升。这意味着在大模型冲击下，虽然部分功能价值链浅的公司可能受影响，但仍有很多公司能够受益并实现业绩上升和商业模式重构，因此应用链仍需重视。</w:t>
      </w:r>
    </w:p>
    <w:p>
      <w:r>
        <w:rPr>
          <w:rFonts w:ascii="等线(中文正文)" w:hAnsi="等线(中文正文)" w:cs="等线(中文正文)" w:eastAsia="等线(中文正文)"/>
          <w:b w:val="false"/>
          <w:i w:val="false"/>
          <w:sz w:val="20"/>
        </w:rPr>
        <w:t/>
      </w:r>
    </w:p>
    <w:p>
      <w:pPr>
        <w:pStyle w:val="ab"/>
      </w:pPr>
      <w:r>
        <w:t>如何看待公司业绩分化以及如何通过财报和商业化两个路径去观察？</w:t>
      </w:r>
    </w:p>
    <w:p>
      <w:r>
        <w:rPr>
          <w:rFonts w:ascii="等线(中文正文)" w:hAnsi="等线(中文正文)" w:cs="等线(中文正文)" w:eastAsia="等线(中文正文)"/>
          <w:b w:val="false"/>
          <w:i w:val="false"/>
          <w:sz w:val="20"/>
        </w:rPr>
        <w:t>发言人1：在大模型冲击下，公司将出现业绩分化现象，一些功能价值链浅的公司可能会遭受冲击，而另一些公司不仅业绩保持上升，且商业模式重构，这些公司将逐渐显现出来。业绩方面的分化可通过财报层面不断证明自身实力的方式观察，而商业化路径则是新兴公司尝试进入壁垒深厚的领域，挑战传统老牌公司的市场地位。目前已有迹象表明某些公司正通过这两条路径实现业绩分化过程的发展。</w:t>
      </w:r>
    </w:p>
    <w:p>
      <w:r>
        <w:rPr>
          <w:rFonts w:ascii="等线(中文正文)" w:hAnsi="等线(中文正文)" w:cs="等线(中文正文)" w:eastAsia="等线(中文正文)"/>
          <w:b w:val="false"/>
          <w:i w:val="false"/>
          <w:sz w:val="20"/>
        </w:rPr>
        <w:t/>
      </w:r>
    </w:p>
    <w:p>
      <w:pPr>
        <w:pStyle w:val="ab"/>
      </w:pPr>
      <w:r>
        <w:t>是否有具体例子说明老牌公司面对新兴公司在其业务领域的冲击？</w:t>
      </w:r>
    </w:p>
    <w:p>
      <w:r>
        <w:rPr>
          <w:rFonts w:ascii="等线(中文正文)" w:hAnsi="等线(中文正文)" w:cs="等线(中文正文)" w:eastAsia="等线(中文正文)"/>
          <w:b w:val="false"/>
          <w:i w:val="false"/>
          <w:sz w:val="20"/>
        </w:rPr>
        <w:t>发言人1：SAP是一个典型的例子，它关闭了所有对外API调用接口，显示出老牌公司在面对新兴公司在其壁垒深厚业务领域的冲击时的应对策略。随着后续观察，可能会有更多的老牌公司展现出被错杀后通过证明自身实力逐步体现出来的强劲反弹效应。</w:t>
      </w:r>
    </w:p>
    <w:p>
      <w:r>
        <w:rPr>
          <w:rFonts w:ascii="等线(中文正文)" w:hAnsi="等线(中文正文)" w:cs="等线(中文正文)" w:eastAsia="等线(中文正文)"/>
          <w:b w:val="false"/>
          <w:i w:val="false"/>
          <w:sz w:val="20"/>
        </w:rPr>
        <w:t/>
      </w:r>
    </w:p>
    <w:p>
      <w:pPr>
        <w:pStyle w:val="ab"/>
      </w:pPr>
      <w:r>
        <w:t>在AI技术快速发展背景下，您认为哪些公司可能会因为商业模式变化和资金面改善而获得超预期增长？</w:t>
      </w:r>
    </w:p>
    <w:p>
      <w:r>
        <w:rPr>
          <w:rFonts w:ascii="等线(中文正文)" w:hAnsi="等线(中文正文)" w:cs="等线(中文正文)" w:eastAsia="等线(中文正文)"/>
          <w:b w:val="false"/>
          <w:i w:val="false"/>
          <w:sz w:val="20"/>
        </w:rPr>
        <w:t>发言人1：这类公司通常具有场景优势、数据壁垒、深度用户粘性和场景友好等特点。我们建议投资人关注应用端的新机会，布局具有上述特点的公司。</w:t>
      </w:r>
    </w:p>
    <w:p>
      <w:r>
        <w:rPr>
          <w:rFonts w:ascii="等线(中文正文)" w:hAnsi="等线(中文正文)" w:cs="等线(中文正文)" w:eastAsia="等线(中文正文)"/>
          <w:b w:val="false"/>
          <w:i w:val="false"/>
          <w:sz w:val="20"/>
        </w:rPr>
        <w:t/>
      </w:r>
    </w:p>
    <w:p>
      <w:pPr>
        <w:pStyle w:val="ab"/>
      </w:pPr>
      <w:r>
        <w:t>IDC最近公布的中国企业级MaaS市场报告显示了哪些关键信息？</w:t>
      </w:r>
    </w:p>
    <w:p>
      <w:r>
        <w:rPr>
          <w:rFonts w:ascii="等线(中文正文)" w:hAnsi="等线(中文正文)" w:cs="等线(中文正文)" w:eastAsia="等线(中文正文)"/>
          <w:b w:val="false"/>
          <w:i w:val="false"/>
          <w:sz w:val="20"/>
        </w:rPr>
        <w:t>发言人1：报告显示，2025年公有云大模型调用量同比增长达到16倍，且字节在该市场份额增长显著，全年市占率达到49.7%，比年中高出0.5个百分点。</w:t>
      </w:r>
    </w:p>
    <w:p>
      <w:r>
        <w:rPr>
          <w:rFonts w:ascii="等线(中文正文)" w:hAnsi="等线(中文正文)" w:cs="等线(中文正文)" w:eastAsia="等线(中文正文)"/>
          <w:b w:val="false"/>
          <w:i w:val="false"/>
          <w:sz w:val="20"/>
        </w:rPr>
        <w:t/>
      </w:r>
    </w:p>
    <w:p>
      <w:pPr>
        <w:pStyle w:val="ab"/>
      </w:pPr>
      <w:r>
        <w:t>“词源经济”与内容产业之间的逻辑关系是什么？</w:t>
      </w:r>
    </w:p>
    <w:p>
      <w:r>
        <w:rPr>
          <w:rFonts w:ascii="等线(中文正文)" w:hAnsi="等线(中文正文)" w:cs="等线(中文正文)" w:eastAsia="等线(中文正文)"/>
          <w:b w:val="false"/>
          <w:i w:val="false"/>
          <w:sz w:val="20"/>
        </w:rPr>
        <w:t>发言人1：“词源经济”中的 tokens 类似于水电煤消耗，而模型即服务（MaaS）面向C端和B端场景提供服务，其中多模态创作是个人和企业的重要组成部分，例如动漫创作中视频是主要的AI创作形态，且平台如红果平台通过免费加广告模式快速变现。</w:t>
      </w:r>
    </w:p>
    <w:p>
      <w:r>
        <w:rPr>
          <w:rFonts w:ascii="等线(中文正文)" w:hAnsi="等线(中文正文)" w:cs="等线(中文正文)" w:eastAsia="等线(中文正文)"/>
          <w:b w:val="false"/>
          <w:i w:val="false"/>
          <w:sz w:val="20"/>
        </w:rPr>
        <w:t/>
      </w:r>
    </w:p>
    <w:p>
      <w:pPr>
        <w:pStyle w:val="ab"/>
      </w:pPr>
      <w:r>
        <w:t>AI内容产品在未来的核心竞争力可能会发生怎样的变化？</w:t>
      </w:r>
    </w:p>
    <w:p>
      <w:r>
        <w:rPr>
          <w:rFonts w:ascii="等线(中文正文)" w:hAnsi="等线(中文正文)" w:cs="等线(中文正文)" w:eastAsia="等线(中文正文)"/>
          <w:b w:val="false"/>
          <w:i w:val="false"/>
          <w:sz w:val="20"/>
        </w:rPr>
        <w:t>发言人1：未来AI内容产品的核心竞争力将转移到收费之前的分发能力上，与传统长视频付费模式不同，AR短剧等内容在分发环节实现了更高效、更短路径的变现。</w:t>
      </w:r>
    </w:p>
    <w:p>
      <w:r>
        <w:rPr>
          <w:rFonts w:ascii="等线(中文正文)" w:hAnsi="等线(中文正文)" w:cs="等线(中文正文)" w:eastAsia="等线(中文正文)"/>
          <w:b w:val="false"/>
          <w:i w:val="false"/>
          <w:sz w:val="20"/>
        </w:rPr>
        <w:t/>
      </w:r>
    </w:p>
    <w:p>
      <w:pPr>
        <w:pStyle w:val="ab"/>
      </w:pPr>
      <w:r>
        <w:t>与其他平台竞争的关键是什么？</w:t>
      </w:r>
    </w:p>
    <w:p>
      <w:r>
        <w:rPr>
          <w:rFonts w:ascii="等线(中文正文)" w:hAnsi="等线(中文正文)" w:cs="等线(中文正文)" w:eastAsia="等线(中文正文)"/>
          <w:b w:val="false"/>
          <w:i w:val="false"/>
          <w:sz w:val="20"/>
        </w:rPr>
        <w:t>发言人1：竞争的关键在于能否借助AIGC工具实现多模态内容的快速广泛分发，并根据不同平台推荐算法进行有针对性的转化以提高分发效率。</w:t>
      </w:r>
    </w:p>
    <w:p>
      <w:r>
        <w:rPr>
          <w:rFonts w:ascii="等线(中文正文)" w:hAnsi="等线(中文正文)" w:cs="等线(中文正文)" w:eastAsia="等线(中文正文)"/>
          <w:b w:val="false"/>
          <w:i w:val="false"/>
          <w:sz w:val="20"/>
        </w:rPr>
        <w:t/>
      </w:r>
    </w:p>
    <w:p>
      <w:pPr>
        <w:pStyle w:val="ab"/>
      </w:pPr>
      <w:r>
        <w:t>资源经济趋势下，内容创作者和平台之间的竞争将如何演变？</w:t>
      </w:r>
    </w:p>
    <w:p>
      <w:r>
        <w:rPr>
          <w:rFonts w:ascii="等线(中文正文)" w:hAnsi="等线(中文正文)" w:cs="等线(中文正文)" w:eastAsia="等线(中文正文)"/>
          <w:b w:val="false"/>
          <w:i w:val="false"/>
          <w:sz w:val="20"/>
        </w:rPr>
        <w:t>发言人1：竞争将转向多模态创作以及分发和变现方式的高度连接，内容创作者将由单一内容形态升级为全模式创作者，分发环节的重要性更加凸显。</w:t>
      </w:r>
    </w:p>
    <w:p>
      <w:r>
        <w:rPr>
          <w:rFonts w:ascii="等线(中文正文)" w:hAnsi="等线(中文正文)" w:cs="等线(中文正文)" w:eastAsia="等线(中文正文)"/>
          <w:b w:val="false"/>
          <w:i w:val="false"/>
          <w:sz w:val="20"/>
        </w:rPr>
        <w:t/>
      </w:r>
    </w:p>
    <w:p>
      <w:pPr>
        <w:pStyle w:val="ab"/>
      </w:pPr>
      <w:r>
        <w:t>国内AIDC产业链最新的边际变化是什么？</w:t>
      </w:r>
    </w:p>
    <w:p>
      <w:r>
        <w:rPr>
          <w:rFonts w:ascii="等线(中文正文)" w:hAnsi="等线(中文正文)" w:cs="等线(中文正文)" w:eastAsia="等线(中文正文)"/>
          <w:b w:val="false"/>
          <w:i w:val="false"/>
          <w:sz w:val="20"/>
        </w:rPr>
        <w:t>发言人1：最新的边际变化是国内互联网大厂上调了资本开支计划，从年初规划的1800亿上调至2500亿，这表明国内整个AIDC产业链逻辑已经闭环，从大模型端到硬件采购端，再到资本开支计划上调，各环节均呈现明显上升趋势。</w:t>
      </w:r>
    </w:p>
    <w:p>
      <w:r>
        <w:rPr>
          <w:rFonts w:ascii="等线(中文正文)" w:hAnsi="等线(中文正文)" w:cs="等线(中文正文)" w:eastAsia="等线(中文正文)"/>
          <w:b w:val="false"/>
          <w:i w:val="false"/>
          <w:sz w:val="20"/>
        </w:rPr>
        <w:t/>
      </w:r>
    </w:p>
    <w:p>
      <w:pPr>
        <w:pStyle w:val="ab"/>
      </w:pPr>
      <w:r>
        <w:t>国内AIDC产业链中，您认为超节点为何成为一个重要观察视角？对于国内AIDC产业链的推荐和风险提示有哪些？</w:t>
      </w:r>
    </w:p>
    <w:p>
      <w:r>
        <w:rPr>
          <w:rFonts w:ascii="等线(中文正文)" w:hAnsi="等线(中文正文)" w:cs="等线(中文正文)" w:eastAsia="等线(中文正文)"/>
          <w:b w:val="false"/>
          <w:i w:val="false"/>
          <w:sz w:val="20"/>
        </w:rPr>
        <w:t>发言人1：超节点成为重要观察视角是因为CSP厂商开始推进超节点建设，主要原因是超级节点在推理层面具有显著优势。例如，相较于英伟达的H100，其GB200单卡算力虽只提升约2.5倍，但推理端token输出效率却提高了二三十倍。此外，随着深计算新版本V4的升级，当升腾超级点上量后，top价格会有明显下调，这使得超节点对于国内AI推理领域至关重要。推荐关注三个方向：超节点、算力租赁和国产算力。同时，也提示了风险点，包括国内资本开支可能存在波动，以及国产算力的节奏可能低于预期，因为先进制程制造的良率和不确定性仍存在。</w:t>
      </w:r>
    </w:p>
    <w:p>
      <w:r>
        <w:rPr>
          <w:rFonts w:ascii="等线(中文正文)" w:hAnsi="等线(中文正文)" w:cs="等线(中文正文)" w:eastAsia="等线(中文正文)"/>
          <w:b w:val="false"/>
          <w:i w:val="false"/>
          <w:sz w:val="20"/>
        </w:rPr>
        <w:t/>
      </w:r>
    </w:p>
    <w:p>
      <w:pPr>
        <w:pStyle w:val="ab"/>
      </w:pPr>
      <w:r>
        <w:t>在超节点这一环节中，有哪些具体的投资价值方向？</w:t>
      </w:r>
    </w:p>
    <w:p>
      <w:r>
        <w:rPr>
          <w:rFonts w:ascii="等线(中文正文)" w:hAnsi="等线(中文正文)" w:cs="等线(中文正文)" w:eastAsia="等线(中文正文)"/>
          <w:b w:val="false"/>
          <w:i w:val="false"/>
          <w:sz w:val="20"/>
        </w:rPr>
        <w:t>发言人1：在超节点的核心增量方面，交换机和交换线环节是关键投资点。由于超级节点服务器在机柜内部新增了scale up需求，导致对交换芯片和交换机用量相比传统打卡服务器有明显提升。因此，这是今年超级链环节中最值得关注的投资环节。</w:t>
      </w:r>
    </w:p>
    <w:p>
      <w:r>
        <w:rPr>
          <w:rFonts w:ascii="等线(中文正文)" w:hAnsi="等线(中文正文)" w:cs="等线(中文正文)" w:eastAsia="等线(中文正文)"/>
          <w:b w:val="false"/>
          <w:i w:val="false"/>
          <w:sz w:val="20"/>
        </w:rPr>
        <w:t/>
      </w:r>
    </w:p>
    <w:p>
      <w:pPr>
        <w:pStyle w:val="ab"/>
      </w:pPr>
      <w:r>
        <w:t>对于服务器投资价值的看法是怎样的？</w:t>
      </w:r>
    </w:p>
    <w:p>
      <w:r>
        <w:rPr>
          <w:rFonts w:ascii="等线(中文正文)" w:hAnsi="等线(中文正文)" w:cs="等线(中文正文)" w:eastAsia="等线(中文正文)"/>
          <w:b w:val="false"/>
          <w:i w:val="false"/>
          <w:sz w:val="20"/>
        </w:rPr>
        <w:t>发言人1：相较于传统八卡服务器，超级点服务器在设计复杂度、网络、计算以及安全性等方面均有显著提升，因此市场份额更倾向于头部服务器大厂。此外，随着超级点服务器设计难度增加，利润率有望得到改善，这一变化可能最早在今年下半年的相关厂商报表中有所体现。</w:t>
      </w:r>
    </w:p>
    <w:p>
      <w:r>
        <w:rPr>
          <w:rFonts w:ascii="等线(中文正文)" w:hAnsi="等线(中文正文)" w:cs="等线(中文正文)" w:eastAsia="等线(中文正文)"/>
          <w:b w:val="false"/>
          <w:i w:val="false"/>
          <w:sz w:val="20"/>
        </w:rPr>
        <w:t/>
      </w:r>
    </w:p>
    <w:p>
      <w:pPr>
        <w:pStyle w:val="ab"/>
      </w:pPr>
      <w:r>
        <w:t>算力租赁市场的情况如何？</w:t>
      </w:r>
    </w:p>
    <w:p>
      <w:r>
        <w:rPr>
          <w:rFonts w:ascii="等线(中文正文)" w:hAnsi="等线(中文正文)" w:cs="等线(中文正文)" w:eastAsia="等线(中文正文)"/>
          <w:b w:val="false"/>
          <w:i w:val="false"/>
          <w:sz w:val="20"/>
        </w:rPr>
        <w:t>发言人1：算力租赁市场今年呈现出爆发式增长，许多厂商如鸿景、协创、利通等Q1就已经开始释放相关利润。东阳光等公司也发布了大规模的算力采购订单。整个算力租赁行业不仅需求得到跑通，商业模式在未来3到5年内也呈现偏长线发展趋势，业务进展超预期。</w:t>
      </w:r>
    </w:p>
    <w:p>
      <w:r>
        <w:rPr>
          <w:rFonts w:ascii="等线(中文正文)" w:hAnsi="等线(中文正文)" w:cs="等线(中文正文)" w:eastAsia="等线(中文正文)"/>
          <w:b w:val="false"/>
          <w:i w:val="false"/>
          <w:sz w:val="20"/>
        </w:rPr>
        <w:t/>
      </w:r>
    </w:p>
    <w:p>
      <w:pPr>
        <w:pStyle w:val="ab"/>
      </w:pPr>
      <w:r>
        <w:t>为什么国内头部互联网厂商大规模扩张IDC储备会利好国产算力？</w:t>
      </w:r>
    </w:p>
    <w:p>
      <w:r>
        <w:rPr>
          <w:rFonts w:ascii="等线(中文正文)" w:hAnsi="等线(中文正文)" w:cs="等线(中文正文)" w:eastAsia="等线(中文正文)"/>
          <w:b w:val="false"/>
          <w:i w:val="false"/>
          <w:sz w:val="20"/>
        </w:rPr>
        <w:t>发言人1：头部互联网厂商大规模扩张IDC储备是因为采购的IDC订单将在未来一到两年交付，表明明后年整个算力需求将更快爆发。而在此之前，由于海外算力卡脖子以及国产GPU供给不足，国内AIDC和国产算力发展受到压制。但随着上游先进制程制造、封装产能的放量，明年国产算力的产能确定性和爆发力可能会超乎市场预期。</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2026-05-10T15:22:59Z</dcterms:created>
  <dc:creator>Apache POI</dc:creator>
</cp:coreProperties>
</file>