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招商证券 - 招商宏观周周谈：伺机而动 260510_导读</w:t>
      </w:r>
    </w:p>
    <w:p>
      <w:pPr>
        <w:pStyle w:val="a0"/>
        <w:jc w:val="center"/>
      </w:pPr>
      <w:r>
        <w:t>2026年05月10日 23:19</w:t>
      </w:r>
    </w:p>
    <w:p>
      <w:pPr>
        <w:pStyle w:val="a7"/>
      </w:pPr>
      <w:r>
        <w:t>关键词</w:t>
      </w:r>
    </w:p>
    <w:p>
      <w:r>
        <w:rPr>
          <w:rFonts w:ascii="等线(中文正文)" w:hAnsi="等线(中文正文)" w:cs="等线(中文正文)" w:eastAsia="等线(中文正文)"/>
          <w:b w:val="false"/>
          <w:i w:val="false"/>
          <w:sz w:val="20"/>
        </w:rPr>
        <w:t xml:space="preserve">资产价格 中观研究 科网泡沫 出口数据 消费亮点 美国就业数据 纳斯达克 科技成长股票 PMI 加征关税 高新技术产品 地铁客运量 迁徙指数 美股 纳萨克 流动性 科技 AI 降息 美联储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汇聚了多位专家的深入见解，涵盖了全球经济基本面、资产价格走势、中观经济分析以及国际政治动态。专家们细致分析了中国与美国经济的最新发展，特别是关注了两国经济的微观边际变化，以及这对全球资产表现可能带来的影响。讨论触及了两种未来资产表现情景：一种是科网泡沫重现的可能性，另一种是美联储政策走向，尤其是降息的预期。同时，分析了中美贸易关系的复杂性，包括特朗普访华的潜在影响，以及美国与伊朗紧张局势对全球市场的影响。在国际关系层面，强调了中国在基建出口领域的机遇，特别是东南亚市场的重要性，以及新基建在全球市场上的竞争与未来展望。整体而言，本次对话提供了对全球经济、政治及市场趋势的全面洞察，展现了专家们对复杂国际形势的深刻理解。</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全球基本面与资产价格的未来推演</w:t>
      </w:r>
    </w:p>
    <w:p>
      <w:r>
        <w:rPr>
          <w:rFonts w:ascii="等线(中文正文)" w:hAnsi="等线(中文正文)" w:cs="等线(中文正文)" w:eastAsia="等线(中文正文)"/>
          <w:b w:val="false"/>
          <w:i w:val="false"/>
          <w:sz w:val="20"/>
        </w:rPr>
        <w:t>讨论了全球特别是中美经济的微观边际变化，未来两个季度全球资产表现的两种可能情形，包括科网泡沫重现与美联储降息可能性，以及中国市场对美国因素敏感度的长期脱敏趋势。</w:t>
      </w:r>
    </w:p>
    <w:p>
      <w:r>
        <w:rPr>
          <w:rFonts w:ascii="等线(中文正文)" w:hAnsi="等线(中文正文)" w:cs="等线(中文正文)" w:eastAsia="等线(中文正文)"/>
          <w:b w:val="false"/>
          <w:i w:val="false"/>
          <w:sz w:val="20"/>
        </w:rPr>
        <w:t/>
      </w:r>
    </w:p>
    <w:p>
      <w:pPr>
        <w:pStyle w:val="ab"/>
        <w:numPr>
          <w:numId w:val="2"/>
        </w:numPr>
      </w:pPr>
      <w:r>
        <w:t>02:22 原油产业链波动与出口、消费趋势分析</w:t>
      </w:r>
    </w:p>
    <w:p>
      <w:r>
        <w:rPr>
          <w:rFonts w:ascii="等线(中文正文)" w:hAnsi="等线(中文正文)" w:cs="等线(中文正文)" w:eastAsia="等线(中文正文)"/>
          <w:b w:val="false"/>
          <w:i w:val="false"/>
          <w:sz w:val="20"/>
        </w:rPr>
        <w:t>对话分析了原油产业链受中东局势影响导致开工率下滑，以及出口因高科技产品需求和关税不确定性增强而表现强劲，同时指出消费存在结构性亮点，如演出票房增长，但整体趋势温和，需关注供给与需求匹配情况。</w:t>
      </w:r>
    </w:p>
    <w:p>
      <w:r>
        <w:rPr>
          <w:rFonts w:ascii="等线(中文正文)" w:hAnsi="等线(中文正文)" w:cs="等线(中文正文)" w:eastAsia="等线(中文正文)"/>
          <w:b w:val="false"/>
          <w:i w:val="false"/>
          <w:sz w:val="20"/>
        </w:rPr>
        <w:t/>
      </w:r>
    </w:p>
    <w:p>
      <w:pPr>
        <w:pStyle w:val="ab"/>
        <w:numPr>
          <w:numId w:val="3"/>
        </w:numPr>
      </w:pPr>
      <w:r>
        <w:t>11:38 美国就业数据与科技股泡沫分析</w:t>
      </w:r>
    </w:p>
    <w:p>
      <w:r>
        <w:rPr>
          <w:rFonts w:ascii="等线(中文正文)" w:hAnsi="等线(中文正文)" w:cs="等线(中文正文)" w:eastAsia="等线(中文正文)"/>
          <w:b w:val="false"/>
          <w:i w:val="false"/>
          <w:sz w:val="20"/>
        </w:rPr>
        <w:t>讨论了美国近期就业数据表现，指出劳动参与率下滑导致失业率下降不实。同时，回顾1999年至2000年科技泡沫时期，分析了高油价与科技股表现的关系，认为当前科技股强劲可能引发类似泡沫，影响美联储货币政策决策。</w:t>
      </w:r>
    </w:p>
    <w:p>
      <w:r>
        <w:rPr>
          <w:rFonts w:ascii="等线(中文正文)" w:hAnsi="等线(中文正文)" w:cs="等线(中文正文)" w:eastAsia="等线(中文正文)"/>
          <w:b w:val="false"/>
          <w:i w:val="false"/>
          <w:sz w:val="20"/>
        </w:rPr>
        <w:t/>
      </w:r>
    </w:p>
    <w:p>
      <w:pPr>
        <w:pStyle w:val="ab"/>
        <w:numPr>
          <w:numId w:val="4"/>
        </w:numPr>
      </w:pPr>
      <w:r>
        <w:t>19:02 美联储降息预期与中美股市走势关系探讨</w:t>
      </w:r>
    </w:p>
    <w:p>
      <w:r>
        <w:rPr>
          <w:rFonts w:ascii="等线(中文正文)" w:hAnsi="等线(中文正文)" w:cs="等线(中文正文)" w:eastAsia="等线(中文正文)"/>
          <w:b w:val="false"/>
          <w:i w:val="false"/>
          <w:sz w:val="20"/>
        </w:rPr>
        <w:t>对话讨论了美联储降息预期对美股和港股的影响，指出美股走势可能独立于美国经济基本面，而港股则与国内经济及美联储政策相关。长期来看，中国资本市场可能逐渐减少对美国因素的敏感度，随着人民币国际化加速和中国跨过中等收入陷阱，未来权益市场有望迎来牛市。</w:t>
      </w:r>
    </w:p>
    <w:p>
      <w:r>
        <w:rPr>
          <w:rFonts w:ascii="等线(中文正文)" w:hAnsi="等线(中文正文)" w:cs="等线(中文正文)" w:eastAsia="等线(中文正文)"/>
          <w:b w:val="false"/>
          <w:i w:val="false"/>
          <w:sz w:val="20"/>
        </w:rPr>
        <w:t/>
      </w:r>
    </w:p>
    <w:p>
      <w:pPr>
        <w:pStyle w:val="ab"/>
        <w:numPr>
          <w:numId w:val="5"/>
        </w:numPr>
      </w:pPr>
      <w:r>
        <w:t>23:19 美伊局势与中美博弈影响分析</w:t>
      </w:r>
    </w:p>
    <w:p>
      <w:r>
        <w:rPr>
          <w:rFonts w:ascii="等线(中文正文)" w:hAnsi="等线(中文正文)" w:cs="等线(中文正文)" w:eastAsia="等线(中文正文)"/>
          <w:b w:val="false"/>
          <w:i w:val="false"/>
          <w:sz w:val="20"/>
        </w:rPr>
        <w:t>本周美伊局势紧张，美军暂停自由计划，双方在霍尔木兹海峡发生小规模冲突后又恢复停火。特朗普称接近与伊朗达成和平协议，但伊朗未回应。美伊关系影响布伦特油价，石油泄露事件成疑。同时，中美关系重回焦点，美伊局势可能成为特朗普对华谈判筹码。</w:t>
      </w:r>
    </w:p>
    <w:p>
      <w:r>
        <w:rPr>
          <w:rFonts w:ascii="等线(中文正文)" w:hAnsi="等线(中文正文)" w:cs="等线(中文正文)" w:eastAsia="等线(中文正文)"/>
          <w:b w:val="false"/>
          <w:i w:val="false"/>
          <w:sz w:val="20"/>
        </w:rPr>
        <w:t/>
      </w:r>
    </w:p>
    <w:p>
      <w:pPr>
        <w:pStyle w:val="ab"/>
        <w:numPr>
          <w:numId w:val="6"/>
        </w:numPr>
      </w:pPr>
      <w:r>
        <w:t>28:45 美伊谈判僵局与军事部署分析</w:t>
      </w:r>
    </w:p>
    <w:p>
      <w:r>
        <w:rPr>
          <w:rFonts w:ascii="等线(中文正文)" w:hAnsi="等线(中文正文)" w:cs="等线(中文正文)" w:eastAsia="等线(中文正文)"/>
          <w:b w:val="false"/>
          <w:i w:val="false"/>
          <w:sz w:val="20"/>
        </w:rPr>
        <w:t>美伊围绕海峡和核计划的谈判分歧集中在互信缺失，美国提出框架性协议以缓和局势，但伊朗回应迟缓，显示内部意见不一。双方维持边打边谈的僵持状态，军事部署未见松动，存在冲突升级风险。美军虽有轮换但驻军未减，伊朗通过里海进口武器零件，意图重建军事实力。</w:t>
      </w:r>
    </w:p>
    <w:p>
      <w:r>
        <w:rPr>
          <w:rFonts w:ascii="等线(中文正文)" w:hAnsi="等线(中文正文)" w:cs="等线(中文正文)" w:eastAsia="等线(中文正文)"/>
          <w:b w:val="false"/>
          <w:i w:val="false"/>
          <w:sz w:val="20"/>
        </w:rPr>
        <w:t/>
      </w:r>
    </w:p>
    <w:p>
      <w:pPr>
        <w:pStyle w:val="ab"/>
        <w:numPr>
          <w:numId w:val="7"/>
        </w:numPr>
      </w:pPr>
      <w:r>
        <w:t>34:56 中美关系动态与博弈分析</w:t>
      </w:r>
    </w:p>
    <w:p>
      <w:r>
        <w:rPr>
          <w:rFonts w:ascii="等线(中文正文)" w:hAnsi="等线(中文正文)" w:cs="等线(中文正文)" w:eastAsia="等线(中文正文)"/>
          <w:b w:val="false"/>
          <w:i w:val="false"/>
          <w:sz w:val="20"/>
        </w:rPr>
        <w:t>近期中美关系再度成为焦点，双方在经贸、技术制裁等领域展开博弈。中国商务部首次动用制裁阻断命令回应美国制裁，同时美国重建导弹防御系统需依赖中国稀土资源，削弱了其博弈筹码。特朗普计划访华，但美国政府内部鹰派对其与中国的经贸合作持谨慎态度，影响访华代表团的规模与构成。中美双方在多领域持续博弈，特朗普政府试图通过多种手段巩固筹码，但内部意见分歧明显。</w:t>
      </w:r>
    </w:p>
    <w:p>
      <w:r>
        <w:rPr>
          <w:rFonts w:ascii="等线(中文正文)" w:hAnsi="等线(中文正文)" w:cs="等线(中文正文)" w:eastAsia="等线(中文正文)"/>
          <w:b w:val="false"/>
          <w:i w:val="false"/>
          <w:sz w:val="20"/>
        </w:rPr>
        <w:t/>
      </w:r>
    </w:p>
    <w:p>
      <w:pPr>
        <w:pStyle w:val="ab"/>
        <w:numPr>
          <w:numId w:val="8"/>
        </w:numPr>
      </w:pPr>
      <w:r>
        <w:t>39:25 中美博弈议题分析与基建出口趋势</w:t>
      </w:r>
    </w:p>
    <w:p>
      <w:r>
        <w:rPr>
          <w:rFonts w:ascii="等线(中文正文)" w:hAnsi="等线(中文正文)" w:cs="等线(中文正文)" w:eastAsia="等线(中文正文)"/>
          <w:b w:val="false"/>
          <w:i w:val="false"/>
          <w:sz w:val="20"/>
        </w:rPr>
        <w:t>对话探讨了中美博弈的四大议题：经贸、战略、宏观经济和地缘政治，强调议题对等原则。分析了基建出口的重要性，指出其占总出口约30%，近期占比接近40%，对出口有强支撑作用，且增速与总出口同步，表现稳定，传统基建与新基建中传统基建更占主导。</w:t>
      </w:r>
    </w:p>
    <w:p>
      <w:r>
        <w:rPr>
          <w:rFonts w:ascii="等线(中文正文)" w:hAnsi="等线(中文正文)" w:cs="等线(中文正文)" w:eastAsia="等线(中文正文)"/>
          <w:b w:val="false"/>
          <w:i w:val="false"/>
          <w:sz w:val="20"/>
        </w:rPr>
        <w:t/>
      </w:r>
    </w:p>
    <w:p>
      <w:pPr>
        <w:pStyle w:val="ab"/>
        <w:numPr>
          <w:numId w:val="9"/>
        </w:numPr>
      </w:pPr>
      <w:r>
        <w:t>45:09 新基建与传统基建出口趋势分析</w:t>
      </w:r>
    </w:p>
    <w:p>
      <w:r>
        <w:rPr>
          <w:rFonts w:ascii="等线(中文正文)" w:hAnsi="等线(中文正文)" w:cs="等线(中文正文)" w:eastAsia="等线(中文正文)"/>
          <w:b w:val="false"/>
          <w:i w:val="false"/>
          <w:sz w:val="20"/>
        </w:rPr>
        <w:t>对话分析了新基建与传统基建在出口中的比重变化，指出新基建出口占比正加速上行，成为出口增长的重要支撑。传统基建出口主要依赖一带一路沿线国家，而新基建出口目的地更加多元，反映出全球基建需求重心的结构性转移。</w:t>
      </w:r>
    </w:p>
    <w:p>
      <w:r>
        <w:rPr>
          <w:rFonts w:ascii="等线(中文正文)" w:hAnsi="等线(中文正文)" w:cs="等线(中文正文)" w:eastAsia="等线(中文正文)"/>
          <w:b w:val="false"/>
          <w:i w:val="false"/>
          <w:sz w:val="20"/>
        </w:rPr>
        <w:t/>
      </w:r>
    </w:p>
    <w:p>
      <w:pPr>
        <w:pStyle w:val="ab"/>
        <w:numPr>
          <w:numId w:val="10"/>
        </w:numPr>
      </w:pPr>
      <w:r>
        <w:t>49:12 新基建与传统基建出口趋势分析</w:t>
      </w:r>
    </w:p>
    <w:p>
      <w:r>
        <w:rPr>
          <w:rFonts w:ascii="等线(中文正文)" w:hAnsi="等线(中文正文)" w:cs="等线(中文正文)" w:eastAsia="等线(中文正文)"/>
          <w:b w:val="false"/>
          <w:i w:val="false"/>
          <w:sz w:val="20"/>
        </w:rPr>
        <w:t>对话深入探讨了新基建与传统基建的出口趋势，重点分析了特高压输电、工业互联网、基站通信和高铁轨交四大类产品的出口占比及增速变化。一带一路国家是基建出口的主要目的地，但新基建领域面临竞争分流。长期看，新基建受益于全球数字基建和绿色基建需求，但需从产品输出转向能力输出以占据主导地位。东盟市场对我国新旧基建出口依赖度持续上升，但新基建产品进口依赖度下降，反映竞争加剧。未来，一带一路仍是传统基建增量锚点，新基建需关注全球资本开支周期及AI投资周期影响。</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她张静静首先感谢各位投资者在周日晚上九点相聚于“招商宏观周周谈”，强调了今天将讨论三个重要话题。她表示，讨论内容包括全球基本面和资产价格，由同事陈莹负责中观研究，探讨结构和亮点。魏云则专注于时政分析，分享个人对近十年工作心得的理解，强调在思考问题时应不断融入新变量，不能有执念，要在坚持与调整之间找到平衡。接下来，她深入讨论了两种未来情形的推演，涵盖全球和中国及美国经济基本面的微观边际变化，资产表现的两种推演，以及中国对美国因素的敏感度未来可能的变化。此外，还特别分析了美伊局势、美国就业数据以及中美博弈的现状与展望，强调美国对伊朗政策和中美贸易关系的动态变化。最后，她陈莹和魏云分别就基建出口和时政话题进行了深入分析，强调一带一路倡议、传统与新基建的出口趋势，以及全球供应链和地缘政治因素对贸易的影响。整体而言，她和同事们的发言旨在为投资者提供宏观经济趋势的深度洞察，以及未来可能的投资方向。</w:t>
      </w:r>
    </w:p>
    <w:p>
      <w:r>
        <w:rPr>
          <w:rFonts w:ascii="等线(中文正文)" w:hAnsi="等线(中文正文)" w:cs="等线(中文正文)" w:eastAsia="等线(中文正文)"/>
          <w:b w:val="false"/>
          <w:i w:val="false"/>
          <w:sz w:val="20"/>
        </w:rPr>
        <w:t/>
      </w:r>
    </w:p>
    <w:p>
      <w:pPr>
        <w:pStyle w:val="a7"/>
      </w:pPr>
      <w:r>
        <w:t>要点回顾</w:t>
      </w:r>
    </w:p>
    <w:p>
      <w:pPr>
        <w:pStyle w:val="ab"/>
      </w:pPr>
      <w:r>
        <w:t>今天我们讨论的主题是什么？</w:t>
      </w:r>
    </w:p>
    <w:p>
      <w:r>
        <w:rPr>
          <w:rFonts w:ascii="等线(中文正文)" w:hAnsi="等线(中文正文)" w:cs="等线(中文正文)" w:eastAsia="等线(中文正文)"/>
          <w:b w:val="false"/>
          <w:i w:val="false"/>
          <w:sz w:val="20"/>
        </w:rPr>
        <w:t>发言人1：今天我要跟大家汇报的主题是“两种未来情形的推演”，主要基于当前全球经济基本面的变化，探讨全球资产表现可能的两种情况，即科网泡沫的出现可能性以及美联储是否会降息的问题。</w:t>
      </w:r>
    </w:p>
    <w:p>
      <w:r>
        <w:rPr>
          <w:rFonts w:ascii="等线(中文正文)" w:hAnsi="等线(中文正文)" w:cs="等线(中文正文)" w:eastAsia="等线(中文正文)"/>
          <w:b w:val="false"/>
          <w:i w:val="false"/>
          <w:sz w:val="20"/>
        </w:rPr>
        <w:t/>
      </w:r>
    </w:p>
    <w:p>
      <w:pPr>
        <w:pStyle w:val="ab"/>
      </w:pPr>
      <w:r>
        <w:t>短期内，我们关注到哪些关于全球特别是中国和美国经济的基本面变化点？</w:t>
      </w:r>
    </w:p>
    <w:p>
      <w:r>
        <w:rPr>
          <w:rFonts w:ascii="等线(中文正文)" w:hAnsi="等线(中文正文)" w:cs="等线(中文正文)" w:eastAsia="等线(中文正文)"/>
          <w:b w:val="false"/>
          <w:i w:val="false"/>
          <w:sz w:val="20"/>
        </w:rPr>
        <w:t>发言人1：在短期内，我们看到四个方面的变化。首先，由于美伊冲突导致中东局势紧张，对原油中下游产业链开工率产生了明显影响，例如沥青开工率自三月份以来持续下滑。此外，江浙地区印染开工率也有所回升但总体仍低于去年同期水平，显示出与原油相关的产业受到油价中枢上移和供给下行的约束。</w:t>
      </w:r>
    </w:p>
    <w:p>
      <w:r>
        <w:rPr>
          <w:rFonts w:ascii="等线(中文正文)" w:hAnsi="等线(中文正文)" w:cs="等线(中文正文)" w:eastAsia="等线(中文正文)"/>
          <w:b w:val="false"/>
          <w:i w:val="false"/>
          <w:sz w:val="20"/>
        </w:rPr>
        <w:t/>
      </w:r>
    </w:p>
    <w:p>
      <w:pPr>
        <w:pStyle w:val="ab"/>
      </w:pPr>
      <w:r>
        <w:t>出口数据方面有何特点？</w:t>
      </w:r>
    </w:p>
    <w:p>
      <w:r>
        <w:rPr>
          <w:rFonts w:ascii="等线(中文正文)" w:hAnsi="等线(中文正文)" w:cs="等线(中文正文)" w:eastAsia="等线(中文正文)"/>
          <w:b w:val="false"/>
          <w:i w:val="false"/>
          <w:sz w:val="20"/>
        </w:rPr>
        <w:t>发言人1：四月份出口数据非常强劲，进口也有亮点。强劲的原因部分归结于价格因素，如PPI环比上升1个百分点，对进出口名义值形成提振。出口结构上，高科技产品出口表现突出，尤其是AI产业链相关产品，并且有抢出口的现象发生，可能与未来不确定性加大和美国加征关税听证会有关。</w:t>
      </w:r>
    </w:p>
    <w:p>
      <w:r>
        <w:rPr>
          <w:rFonts w:ascii="等线(中文正文)" w:hAnsi="等线(中文正文)" w:cs="等线(中文正文)" w:eastAsia="等线(中文正文)"/>
          <w:b w:val="false"/>
          <w:i w:val="false"/>
          <w:sz w:val="20"/>
        </w:rPr>
        <w:t/>
      </w:r>
    </w:p>
    <w:p>
      <w:pPr>
        <w:pStyle w:val="ab"/>
      </w:pPr>
      <w:r>
        <w:t>进口方面为何强劲？</w:t>
      </w:r>
    </w:p>
    <w:p>
      <w:r>
        <w:rPr>
          <w:rFonts w:ascii="等线(中文正文)" w:hAnsi="等线(中文正文)" w:cs="等线(中文正文)" w:eastAsia="等线(中文正文)"/>
          <w:b w:val="false"/>
          <w:i w:val="false"/>
          <w:sz w:val="20"/>
        </w:rPr>
        <w:t>发言人1：进口强劲的原因包括原油和大豆进口量增加，以及出口带动进口，比如集成电路等高新技术产品进口。此外，特朗普访华预期也可能对进口有所影响。</w:t>
      </w:r>
    </w:p>
    <w:p>
      <w:r>
        <w:rPr>
          <w:rFonts w:ascii="等线(中文正文)" w:hAnsi="等线(中文正文)" w:cs="等线(中文正文)" w:eastAsia="等线(中文正文)"/>
          <w:b w:val="false"/>
          <w:i w:val="false"/>
          <w:sz w:val="20"/>
        </w:rPr>
        <w:t/>
      </w:r>
    </w:p>
    <w:p>
      <w:pPr>
        <w:pStyle w:val="ab"/>
      </w:pPr>
      <w:r>
        <w:t>消费情况如何？</w:t>
      </w:r>
    </w:p>
    <w:p>
      <w:r>
        <w:rPr>
          <w:rFonts w:ascii="等线(中文正文)" w:hAnsi="等线(中文正文)" w:cs="等线(中文正文)" w:eastAsia="等线(中文正文)"/>
          <w:b w:val="false"/>
          <w:i w:val="false"/>
          <w:sz w:val="20"/>
        </w:rPr>
        <w:t>发言人1：消费方面呈现出结构性亮点，但不构成整体景气趋势。科技领域的强劲表现导致消费关注度较低。不过，观察九大城市的地铁客运量和拥堵指数数据发现，去年11月份出现了明显变化，这与当年中小学生休假安排有关，可能是消费降级的一个分水岭。</w:t>
      </w:r>
    </w:p>
    <w:p>
      <w:r>
        <w:rPr>
          <w:rFonts w:ascii="等线(中文正文)" w:hAnsi="等线(中文正文)" w:cs="等线(中文正文)" w:eastAsia="等线(中文正文)"/>
          <w:b w:val="false"/>
          <w:i w:val="false"/>
          <w:sz w:val="20"/>
        </w:rPr>
        <w:t/>
      </w:r>
    </w:p>
    <w:p>
      <w:pPr>
        <w:pStyle w:val="ab"/>
      </w:pPr>
      <w:r>
        <w:t>九大城市交通运输情况变化是否是消费降级导致的？</w:t>
      </w:r>
    </w:p>
    <w:p>
      <w:r>
        <w:rPr>
          <w:rFonts w:ascii="等线(中文正文)" w:hAnsi="等线(中文正文)" w:cs="等线(中文正文)" w:eastAsia="等线(中文正文)"/>
          <w:b w:val="false"/>
          <w:i w:val="false"/>
          <w:sz w:val="20"/>
        </w:rPr>
        <w:t>发言人1：不完全是因为消费降级，可能是错峰休假、错峰上班和反内卷的结果。从拐点时间去年11月份来看，与放春秋假有关。</w:t>
      </w:r>
    </w:p>
    <w:p>
      <w:r>
        <w:rPr>
          <w:rFonts w:ascii="等线(中文正文)" w:hAnsi="等线(中文正文)" w:cs="等线(中文正文)" w:eastAsia="等线(中文正文)"/>
          <w:b w:val="false"/>
          <w:i w:val="false"/>
          <w:sz w:val="20"/>
        </w:rPr>
        <w:t/>
      </w:r>
    </w:p>
    <w:p>
      <w:pPr>
        <w:pStyle w:val="ab"/>
      </w:pPr>
      <w:r>
        <w:t>迁徙指数与跨区域出行规模增长的矛盾点是什么？</w:t>
      </w:r>
    </w:p>
    <w:p>
      <w:r>
        <w:rPr>
          <w:rFonts w:ascii="等线(中文正文)" w:hAnsi="等线(中文正文)" w:cs="等线(中文正文)" w:eastAsia="等线(中文正文)"/>
          <w:b w:val="false"/>
          <w:i w:val="false"/>
          <w:sz w:val="20"/>
        </w:rPr>
        <w:t>发言人1：迁徙指数代表人数，而跨区域出行代表人次，今年4月30号到5月3号，尽管迁徙指数较低，但跨区域出行同比增长4.4%，说明出行错峰和五一假期长导致人均打卡城市数增多。</w:t>
      </w:r>
    </w:p>
    <w:p>
      <w:r>
        <w:rPr>
          <w:rFonts w:ascii="等线(中文正文)" w:hAnsi="等线(中文正文)" w:cs="等线(中文正文)" w:eastAsia="等线(中文正文)"/>
          <w:b w:val="false"/>
          <w:i w:val="false"/>
          <w:sz w:val="20"/>
        </w:rPr>
        <w:t/>
      </w:r>
    </w:p>
    <w:p>
      <w:pPr>
        <w:pStyle w:val="ab"/>
      </w:pPr>
      <w:r>
        <w:t>中国在经济结构转型中有哪些消费亮点？</w:t>
      </w:r>
    </w:p>
    <w:p>
      <w:r>
        <w:rPr>
          <w:rFonts w:ascii="等线(中文正文)" w:hAnsi="等线(中文正文)" w:cs="等线(中文正文)" w:eastAsia="等线(中文正文)"/>
          <w:b w:val="false"/>
          <w:i w:val="false"/>
          <w:sz w:val="20"/>
        </w:rPr>
        <w:t>发言人1：中国在经济转型过程中增加了大量服务和消费供给，例如境外游客数量已超过疫情前水平，创历史新高。此外，带薪休假增加有助于提升居民部门需求，而线下演出票房数据也显示出消费亮点。</w:t>
      </w:r>
    </w:p>
    <w:p>
      <w:r>
        <w:rPr>
          <w:rFonts w:ascii="等线(中文正文)" w:hAnsi="等线(中文正文)" w:cs="等线(中文正文)" w:eastAsia="等线(中文正文)"/>
          <w:b w:val="false"/>
          <w:i w:val="false"/>
          <w:sz w:val="20"/>
        </w:rPr>
        <w:t/>
      </w:r>
    </w:p>
    <w:p>
      <w:pPr>
        <w:pStyle w:val="ab"/>
      </w:pPr>
      <w:r>
        <w:t>消费亮点是否显著？</w:t>
      </w:r>
    </w:p>
    <w:p>
      <w:r>
        <w:rPr>
          <w:rFonts w:ascii="等线(中文正文)" w:hAnsi="等线(中文正文)" w:cs="等线(中文正文)" w:eastAsia="等线(中文正文)"/>
          <w:b w:val="false"/>
          <w:i w:val="false"/>
          <w:sz w:val="20"/>
        </w:rPr>
        <w:t>发言人1：消费亮点比较温和，整体上结构性不突出，供给增加导致供给转化率或产能利用率逐渐提高，因此感受不那么显著。</w:t>
      </w:r>
    </w:p>
    <w:p>
      <w:r>
        <w:rPr>
          <w:rFonts w:ascii="等线(中文正文)" w:hAnsi="等线(中文正文)" w:cs="等线(中文正文)" w:eastAsia="等线(中文正文)"/>
          <w:b w:val="false"/>
          <w:i w:val="false"/>
          <w:sz w:val="20"/>
        </w:rPr>
        <w:t/>
      </w:r>
    </w:p>
    <w:p>
      <w:pPr>
        <w:pStyle w:val="ab"/>
      </w:pPr>
      <w:r>
        <w:t>美国就业数据表现如何？</w:t>
      </w:r>
    </w:p>
    <w:p>
      <w:r>
        <w:rPr>
          <w:rFonts w:ascii="等线(中文正文)" w:hAnsi="等线(中文正文)" w:cs="等线(中文正文)" w:eastAsia="等线(中文正文)"/>
          <w:b w:val="false"/>
          <w:i w:val="false"/>
          <w:sz w:val="20"/>
        </w:rPr>
        <w:t>发言人1：美国就业数据显示新增11.5万，失业率降至4.3%，劳动参与率下滑，整体表现强劲，但需关注特朗普访华后数据，以体现美国客观或偏负面的一面。失业率实际是上行的，导致七月份降息预期略有上升。</w:t>
      </w:r>
    </w:p>
    <w:p>
      <w:r>
        <w:rPr>
          <w:rFonts w:ascii="等线(中文正文)" w:hAnsi="等线(中文正文)" w:cs="等线(中文正文)" w:eastAsia="等线(中文正文)"/>
          <w:b w:val="false"/>
          <w:i w:val="false"/>
          <w:sz w:val="20"/>
        </w:rPr>
        <w:t/>
      </w:r>
    </w:p>
    <w:p>
      <w:pPr>
        <w:pStyle w:val="ab"/>
      </w:pPr>
      <w:r>
        <w:t>科技股表现与油价的关系是否矛盾？</w:t>
      </w:r>
    </w:p>
    <w:p>
      <w:r>
        <w:rPr>
          <w:rFonts w:ascii="等线(中文正文)" w:hAnsi="等线(中文正文)" w:cs="等线(中文正文)" w:eastAsia="等线(中文正文)"/>
          <w:b w:val="false"/>
          <w:i w:val="false"/>
          <w:sz w:val="20"/>
        </w:rPr>
        <w:t>发言人1：回顾1999年至2000年科技泡沫时期，加息初期科技股仍保持强劲，这是因为资金在加息预期下向美股集中，特别是科技相关方向。加息对实体经济有所约束，而科技板块景气度暂时不受影响，造成三大指数分化。</w:t>
      </w:r>
    </w:p>
    <w:p>
      <w:r>
        <w:rPr>
          <w:rFonts w:ascii="等线(中文正文)" w:hAnsi="等线(中文正文)" w:cs="等线(中文正文)" w:eastAsia="等线(中文正文)"/>
          <w:b w:val="false"/>
          <w:i w:val="false"/>
          <w:sz w:val="20"/>
        </w:rPr>
        <w:t/>
      </w:r>
    </w:p>
    <w:p>
      <w:pPr>
        <w:pStyle w:val="ab"/>
      </w:pPr>
      <w:r>
        <w:t>在2000年二季度到2001年初，纳萨克的走势是怎样的状态？</w:t>
      </w:r>
    </w:p>
    <w:p>
      <w:r>
        <w:rPr>
          <w:rFonts w:ascii="等线(中文正文)" w:hAnsi="等线(中文正文)" w:cs="等线(中文正文)" w:eastAsia="等线(中文正文)"/>
          <w:b w:val="false"/>
          <w:i w:val="false"/>
          <w:sz w:val="20"/>
        </w:rPr>
        <w:t>发言人1：纳萨克在这段时间内从之前的泡沫化过程，即虹吸效应过程中回归到了与标普和道琼斯指数一致的状态，说明市场开始趋于一致。</w:t>
      </w:r>
    </w:p>
    <w:p>
      <w:r>
        <w:rPr>
          <w:rFonts w:ascii="等线(中文正文)" w:hAnsi="等线(中文正文)" w:cs="等线(中文正文)" w:eastAsia="等线(中文正文)"/>
          <w:b w:val="false"/>
          <w:i w:val="false"/>
          <w:sz w:val="20"/>
        </w:rPr>
        <w:t/>
      </w:r>
    </w:p>
    <w:p>
      <w:pPr>
        <w:pStyle w:val="ab"/>
      </w:pPr>
      <w:r>
        <w:t>高油价如何等同于变相加息？</w:t>
      </w:r>
    </w:p>
    <w:p>
      <w:r>
        <w:rPr>
          <w:rFonts w:ascii="等线(中文正文)" w:hAnsi="等线(中文正文)" w:cs="等线(中文正文)" w:eastAsia="等线(中文正文)"/>
          <w:b w:val="false"/>
          <w:i w:val="false"/>
          <w:sz w:val="20"/>
        </w:rPr>
        <w:t>发言人1：高油价至少会显著提高企业的采购成本，而加息直接影响的是融资成本。对于企业部门而言，有三大成本——融资成本、采购成本和人力成本，因此高油价相当于加息。</w:t>
      </w:r>
    </w:p>
    <w:p>
      <w:r>
        <w:rPr>
          <w:rFonts w:ascii="等线(中文正文)" w:hAnsi="等线(中文正文)" w:cs="等线(中文正文)" w:eastAsia="等线(中文正文)"/>
          <w:b w:val="false"/>
          <w:i w:val="false"/>
          <w:sz w:val="20"/>
        </w:rPr>
        <w:t/>
      </w:r>
    </w:p>
    <w:p>
      <w:pPr>
        <w:pStyle w:val="ab"/>
      </w:pPr>
      <w:r>
        <w:t>当前的美股表现与99年Q3有何相似之处？</w:t>
      </w:r>
    </w:p>
    <w:p>
      <w:r>
        <w:rPr>
          <w:rFonts w:ascii="等线(中文正文)" w:hAnsi="等线(中文正文)" w:cs="等线(中文正文)" w:eastAsia="等线(中文正文)"/>
          <w:b w:val="false"/>
          <w:i w:val="false"/>
          <w:sz w:val="20"/>
        </w:rPr>
        <w:t>发言人1：当前四月份以来的美股表现很像99年Q3，即在油价较高时约束了实体经济，导致资金减少对实体经济的投入，但这并未影响到科技尤其是AI产业的景气度，反而使其吸引了资金，从而推动了美股上涨和国内相关科技标的的带动。</w:t>
      </w:r>
    </w:p>
    <w:p>
      <w:r>
        <w:rPr>
          <w:rFonts w:ascii="等线(中文正文)" w:hAnsi="等线(中文正文)" w:cs="等线(中文正文)" w:eastAsia="等线(中文正文)"/>
          <w:b w:val="false"/>
          <w:i w:val="false"/>
          <w:sz w:val="20"/>
        </w:rPr>
        <w:t/>
      </w:r>
    </w:p>
    <w:p>
      <w:pPr>
        <w:pStyle w:val="ab"/>
      </w:pPr>
      <w:r>
        <w:t>美联储为何会选择降息？为什么港股与美股走势会有差异？</w:t>
      </w:r>
    </w:p>
    <w:p>
      <w:r>
        <w:rPr>
          <w:rFonts w:ascii="等线(中文正文)" w:hAnsi="等线(中文正文)" w:cs="等线(中文正文)" w:eastAsia="等线(中文正文)"/>
          <w:b w:val="false"/>
          <w:i w:val="false"/>
          <w:sz w:val="20"/>
        </w:rPr>
        <w:t>发言人1：如果特朗普任期的第六年美股表现不佳，他可能会通过重燃降息预期来提振股市，以维持强劲态势。若美股本身强劲，则不需要降息。港股基本面更多受中国内需和美联储降息影响，而美股走势更多由AI产业趋势驱动，因此在某些时期两者走势可能会出现分化（去劈叉）。</w:t>
      </w:r>
    </w:p>
    <w:p>
      <w:r>
        <w:rPr>
          <w:rFonts w:ascii="等线(中文正文)" w:hAnsi="等线(中文正文)" w:cs="等线(中文正文)" w:eastAsia="等线(中文正文)"/>
          <w:b w:val="false"/>
          <w:i w:val="false"/>
          <w:sz w:val="20"/>
        </w:rPr>
        <w:t/>
      </w:r>
    </w:p>
    <w:p>
      <w:pPr>
        <w:pStyle w:val="ab"/>
      </w:pPr>
      <w:r>
        <w:t>长期来看，中国的权益市场是否会继续受美联储政策影响？</w:t>
      </w:r>
    </w:p>
    <w:p>
      <w:r>
        <w:rPr>
          <w:rFonts w:ascii="等线(中文正文)" w:hAnsi="等线(中文正文)" w:cs="等线(中文正文)" w:eastAsia="等线(中文正文)"/>
          <w:b w:val="false"/>
          <w:i w:val="false"/>
          <w:sz w:val="20"/>
        </w:rPr>
        <w:t>发言人1：未来几年，随着美元计价贸易顺差可能转换成人民币计价，中国资本市场可能会逐渐对美国因素脱敏，并且当人民币国际化程度加速时，中国跨境贸易更多使用人民币计价，也将有助于摆脱过度依赖美国因素。</w:t>
      </w:r>
    </w:p>
    <w:p>
      <w:r>
        <w:rPr>
          <w:rFonts w:ascii="等线(中文正文)" w:hAnsi="等线(中文正文)" w:cs="等线(中文正文)" w:eastAsia="等线(中文正文)"/>
          <w:b w:val="false"/>
          <w:i w:val="false"/>
          <w:sz w:val="20"/>
        </w:rPr>
        <w:t/>
      </w:r>
    </w:p>
    <w:p>
      <w:pPr>
        <w:pStyle w:val="ab"/>
      </w:pPr>
      <w:r>
        <w:t>明后年美股可能发生的调整对中国有何影响？</w:t>
      </w:r>
    </w:p>
    <w:p>
      <w:r>
        <w:rPr>
          <w:rFonts w:ascii="等线(中文正文)" w:hAnsi="等线(中文正文)" w:cs="等线(中文正文)" w:eastAsia="等线(中文正文)"/>
          <w:b w:val="false"/>
          <w:i w:val="false"/>
          <w:sz w:val="20"/>
        </w:rPr>
        <w:t>发言人1：明后年美股可能出现调整，对中国而言短期内会有阵痛，但长期来看将带来全球跨境资本流向的大洗牌，对中国权益市场有巨大利好。届时，中国可能会逐渐摆脱过分依赖美国因素的情况。</w:t>
      </w:r>
    </w:p>
    <w:p>
      <w:r>
        <w:rPr>
          <w:rFonts w:ascii="等线(中文正文)" w:hAnsi="等线(中文正文)" w:cs="等线(中文正文)" w:eastAsia="等线(中文正文)"/>
          <w:b w:val="false"/>
          <w:i w:val="false"/>
          <w:sz w:val="20"/>
        </w:rPr>
        <w:t/>
      </w:r>
    </w:p>
    <w:p>
      <w:pPr>
        <w:pStyle w:val="ab"/>
      </w:pPr>
      <w:r>
        <w:t>美军的突破海上封锁自由计划具体是什么情况？</w:t>
      </w:r>
    </w:p>
    <w:p>
      <w:r>
        <w:rPr>
          <w:rFonts w:ascii="等线(中文正文)" w:hAnsi="等线(中文正文)" w:cs="等线(中文正文)" w:eastAsia="等线(中文正文)"/>
          <w:b w:val="false"/>
          <w:i w:val="false"/>
          <w:sz w:val="20"/>
        </w:rPr>
        <w:t>发言人1：自由计划是美军的一个行动，但很遗憾的是，这个计划仅持续了一天就被暂停了。同时，美国对伊朗港口的封锁仍在继续。</w:t>
      </w:r>
    </w:p>
    <w:p>
      <w:r>
        <w:rPr>
          <w:rFonts w:ascii="等线(中文正文)" w:hAnsi="等线(中文正文)" w:cs="等线(中文正文)" w:eastAsia="等线(中文正文)"/>
          <w:b w:val="false"/>
          <w:i w:val="false"/>
          <w:sz w:val="20"/>
        </w:rPr>
        <w:t/>
      </w:r>
    </w:p>
    <w:p>
      <w:pPr>
        <w:pStyle w:val="ab"/>
      </w:pPr>
      <w:r>
        <w:t>伊朗外长访华及美国伊朗之间的谈判进展如何？</w:t>
      </w:r>
    </w:p>
    <w:p>
      <w:r>
        <w:rPr>
          <w:rFonts w:ascii="等线(中文正文)" w:hAnsi="等线(中文正文)" w:cs="等线(中文正文)" w:eastAsia="等线(中文正文)"/>
          <w:b w:val="false"/>
          <w:i w:val="false"/>
          <w:sz w:val="20"/>
        </w:rPr>
        <w:t>发言人1：5月6号伊朗外长突然访华，而美国媒体报道称接近与伊朗达成一项为期30天的谅解备忘录，内容涉及结束战争、开放霍尔木兹海峡、限制伊朗核计划以及美国解除对伊朗制裁。但截至目前，伊朗方面尚未对美国提议做出回应。</w:t>
      </w:r>
    </w:p>
    <w:p>
      <w:r>
        <w:rPr>
          <w:rFonts w:ascii="等线(中文正文)" w:hAnsi="等线(中文正文)" w:cs="等线(中文正文)" w:eastAsia="等线(中文正文)"/>
          <w:b w:val="false"/>
          <w:i w:val="false"/>
          <w:sz w:val="20"/>
        </w:rPr>
        <w:t/>
      </w:r>
    </w:p>
    <w:p>
      <w:pPr>
        <w:pStyle w:val="ab"/>
      </w:pPr>
      <w:r>
        <w:t>最近美国伊朗之间的军事交火情况如何？</w:t>
      </w:r>
    </w:p>
    <w:p>
      <w:r>
        <w:rPr>
          <w:rFonts w:ascii="等线(中文正文)" w:hAnsi="等线(中文正文)" w:cs="等线(中文正文)" w:eastAsia="等线(中文正文)"/>
          <w:b w:val="false"/>
          <w:i w:val="false"/>
          <w:sz w:val="20"/>
        </w:rPr>
        <w:t>发言人1：在5月7号至8号期间，美国对伊朗发动了小规模交火，包括打击伊朗油轮、空袭沿岸设施，并称有美国驱逐舰成功穿越了霍尔木兹海峡。伊朗方面进行了反击，但目前局势暂时平稳，双方尚未彻底撕毁停火协议。</w:t>
      </w:r>
    </w:p>
    <w:p>
      <w:r>
        <w:rPr>
          <w:rFonts w:ascii="等线(中文正文)" w:hAnsi="等线(中文正文)" w:cs="等线(中文正文)" w:eastAsia="等线(中文正文)"/>
          <w:b w:val="false"/>
          <w:i w:val="false"/>
          <w:sz w:val="20"/>
        </w:rPr>
        <w:t/>
      </w:r>
    </w:p>
    <w:p>
      <w:pPr>
        <w:pStyle w:val="ab"/>
      </w:pPr>
      <w:r>
        <w:t>当前资产价格表现以及伊朗海域石油泄露的说法是怎样的？</w:t>
      </w:r>
    </w:p>
    <w:p>
      <w:r>
        <w:rPr>
          <w:rFonts w:ascii="等线(中文正文)" w:hAnsi="等线(中文正文)" w:cs="等线(中文正文)" w:eastAsia="等线(中文正文)"/>
          <w:b w:val="false"/>
          <w:i w:val="false"/>
          <w:sz w:val="20"/>
        </w:rPr>
        <w:t>发言人1：由于美国释放乐观的谈判信号，布伦特油价本周大幅下跌8%，但由于霍尔木兹海峡通行状况未改善以及美伊交火事件，油价仍在100美元区间。此外，关于伊朗附近海域石油泄露的说法不一，各方均有不同的观点。</w:t>
      </w:r>
    </w:p>
    <w:p>
      <w:r>
        <w:rPr>
          <w:rFonts w:ascii="等线(中文正文)" w:hAnsi="等线(中文正文)" w:cs="等线(中文正文)" w:eastAsia="等线(中文正文)"/>
          <w:b w:val="false"/>
          <w:i w:val="false"/>
          <w:sz w:val="20"/>
        </w:rPr>
        <w:t/>
      </w:r>
    </w:p>
    <w:p>
      <w:pPr>
        <w:pStyle w:val="ab"/>
      </w:pPr>
      <w:r>
        <w:t>美国和伊朗围绕谈判草案的主要分歧和最新进展是什么？</w:t>
      </w:r>
    </w:p>
    <w:p>
      <w:r>
        <w:rPr>
          <w:rFonts w:ascii="等线(中文正文)" w:hAnsi="等线(中文正文)" w:cs="等线(中文正文)" w:eastAsia="等线(中文正文)"/>
          <w:b w:val="false"/>
          <w:i w:val="false"/>
          <w:sz w:val="20"/>
        </w:rPr>
        <w:t>发言人1：美国和伊朗的主要分歧集中在海峡通行和核计划问题上。最近一轮交换中，美国提出先宣布结束战争，开始为期30天的细节谈判，同时要求双方同步开放霍尔木兹海峡、限制伊朗核设施并解除美国对伊朗制裁。伊朗方面对于这份提案的回应慢于预期，可能由于内部存在分歧和需要凝聚共识的时间。</w:t>
      </w:r>
    </w:p>
    <w:p>
      <w:r>
        <w:rPr>
          <w:rFonts w:ascii="等线(中文正文)" w:hAnsi="等线(中文正文)" w:cs="等线(中文正文)" w:eastAsia="等线(中文正文)"/>
          <w:b w:val="false"/>
          <w:i w:val="false"/>
          <w:sz w:val="20"/>
        </w:rPr>
        <w:t/>
      </w:r>
    </w:p>
    <w:p>
      <w:pPr>
        <w:pStyle w:val="ab"/>
      </w:pPr>
      <w:r>
        <w:t>当前美国伊朗整体局势的看法与之前有何变化？</w:t>
      </w:r>
    </w:p>
    <w:p>
      <w:r>
        <w:rPr>
          <w:rFonts w:ascii="等线(中文正文)" w:hAnsi="等线(中文正文)" w:cs="等线(中文正文)" w:eastAsia="等线(中文正文)"/>
          <w:b w:val="false"/>
          <w:i w:val="false"/>
          <w:sz w:val="20"/>
        </w:rPr>
        <w:t>发言人1：当前看法并未发生显著变化，双方仍在“边打边谈”的僵持之中，均未达到政治临界点。美国希望通过维持封锁给伊朗带来经济压力，而伊朗则试图利用海峡逼迫美国让步。这种情况下，任何一方打破僵局都可能导致军事冲突风险升级。虽然本周双方有摩擦和冲突，但整体上并未大幅升级，特朗普方面仍在观察伊朗在谈判上的让步情况，并持续加码经济和金融制裁。</w:t>
      </w:r>
    </w:p>
    <w:p>
      <w:r>
        <w:rPr>
          <w:rFonts w:ascii="等线(中文正文)" w:hAnsi="等线(中文正文)" w:cs="等线(中文正文)" w:eastAsia="等线(中文正文)"/>
          <w:b w:val="false"/>
          <w:i w:val="false"/>
          <w:sz w:val="20"/>
        </w:rPr>
        <w:t/>
      </w:r>
    </w:p>
    <w:p>
      <w:pPr>
        <w:pStyle w:val="ab"/>
      </w:pPr>
      <w:r>
        <w:t>美伊冲突的风险是否已彻底消除？</w:t>
      </w:r>
    </w:p>
    <w:p>
      <w:r>
        <w:rPr>
          <w:rFonts w:ascii="等线(中文正文)" w:hAnsi="等线(中文正文)" w:cs="等线(中文正文)" w:eastAsia="等线(中文正文)"/>
          <w:b w:val="false"/>
          <w:i w:val="false"/>
          <w:sz w:val="20"/>
        </w:rPr>
        <w:t>发言人1：不能特别乐观，因为从美国和伊朗双方的军事部署看，双方在军事准备上并没有出现根本性的减少或扭转。美军方面，虽然福特号撤离了，但布什号已进入中东战区接替，并将持续关注美军动态；伊朗方面正通过里海进口武器装备零部件以重建进攻性军事实力，并可能利用陆上运输出口原油，显示出双方在军事准备上并未明显放松。</w:t>
      </w:r>
    </w:p>
    <w:p>
      <w:r>
        <w:rPr>
          <w:rFonts w:ascii="等线(中文正文)" w:hAnsi="等线(中文正文)" w:cs="等线(中文正文)" w:eastAsia="等线(中文正文)"/>
          <w:b w:val="false"/>
          <w:i w:val="false"/>
          <w:sz w:val="20"/>
        </w:rPr>
        <w:t/>
      </w:r>
    </w:p>
    <w:p>
      <w:pPr>
        <w:pStyle w:val="ab"/>
      </w:pPr>
      <w:r>
        <w:t>最近中美关系有何变化？</w:t>
      </w:r>
    </w:p>
    <w:p>
      <w:r>
        <w:rPr>
          <w:rFonts w:ascii="等线(中文正文)" w:hAnsi="等线(中文正文)" w:cs="等线(中文正文)" w:eastAsia="等线(中文正文)"/>
          <w:b w:val="false"/>
          <w:i w:val="false"/>
          <w:sz w:val="20"/>
        </w:rPr>
        <w:t>发言人1：最近中美关系有所升温，4月30日中美外长进行了通话，且有传闻称美国运输机准备飞往中国，5月7日美国副外长会见了来华访问的美国国会参议员代表团。此外，特朗普本人宣称将在五月中旬访华，但中国官方尚未正式确认。然而，中美博弈并未停止，美国近期因伊朗局势对我国部分企业实施制裁，中国商务部采取反制措施，显示出双方新一轮博弈。</w:t>
      </w:r>
    </w:p>
    <w:p>
      <w:r>
        <w:rPr>
          <w:rFonts w:ascii="等线(中文正文)" w:hAnsi="等线(中文正文)" w:cs="等线(中文正文)" w:eastAsia="等线(中文正文)"/>
          <w:b w:val="false"/>
          <w:i w:val="false"/>
          <w:sz w:val="20"/>
        </w:rPr>
        <w:t/>
      </w:r>
    </w:p>
    <w:p>
      <w:pPr>
        <w:pStyle w:val="ab"/>
      </w:pPr>
      <w:r>
        <w:t>美国方面在博弈中的筹码是否有所削弱？</w:t>
      </w:r>
    </w:p>
    <w:p>
      <w:r>
        <w:rPr>
          <w:rFonts w:ascii="等线(中文正文)" w:hAnsi="等线(中文正文)" w:cs="等线(中文正文)" w:eastAsia="等线(中文正文)"/>
          <w:b w:val="false"/>
          <w:i w:val="false"/>
          <w:sz w:val="20"/>
        </w:rPr>
        <w:t>发言人1：美国方面博弈筹码近期有所削弱，一方面由于伊朗战局消耗大量美国导弹防御系统，同时需要中国供应重稀土等战略物资；另一方面，美国法院裁定特朗普10%全球普遍关税无效，也削弱了其谈判地位。尽管如此，美国仍通过多种手段强化对中国的博弈，如制裁、301调查、封锁霍尔木兹海峡等。</w:t>
      </w:r>
    </w:p>
    <w:p>
      <w:r>
        <w:rPr>
          <w:rFonts w:ascii="等线(中文正文)" w:hAnsi="等线(中文正文)" w:cs="等线(中文正文)" w:eastAsia="等线(中文正文)"/>
          <w:b w:val="false"/>
          <w:i w:val="false"/>
          <w:sz w:val="20"/>
        </w:rPr>
        <w:t/>
      </w:r>
    </w:p>
    <w:p>
      <w:pPr>
        <w:pStyle w:val="ab"/>
      </w:pPr>
      <w:r>
        <w:t>美国政府内部在访华问题上的态度如何？</w:t>
      </w:r>
    </w:p>
    <w:p>
      <w:r>
        <w:rPr>
          <w:rFonts w:ascii="等线(中文正文)" w:hAnsi="等线(中文正文)" w:cs="等线(中文正文)" w:eastAsia="等线(中文正文)"/>
          <w:b w:val="false"/>
          <w:i w:val="false"/>
          <w:sz w:val="20"/>
        </w:rPr>
        <w:t>发言人1：美国政府内部对于访华代表团的规模和人员构成存在谨慎态度和内部博弈。鹰派人士希望规模不大，对中美长期经贸合作持疑虑态度，导致美国政府对于访华代表团的具体安排迟迟未定。</w:t>
      </w:r>
    </w:p>
    <w:p>
      <w:r>
        <w:rPr>
          <w:rFonts w:ascii="等线(中文正文)" w:hAnsi="等线(中文正文)" w:cs="等线(中文正文)" w:eastAsia="等线(中文正文)"/>
          <w:b w:val="false"/>
          <w:i w:val="false"/>
          <w:sz w:val="20"/>
        </w:rPr>
        <w:t/>
      </w:r>
    </w:p>
    <w:p>
      <w:pPr>
        <w:pStyle w:val="ab"/>
      </w:pPr>
      <w:r>
        <w:t>当前中美博弈的主要议题有哪些？</w:t>
      </w:r>
    </w:p>
    <w:p>
      <w:r>
        <w:rPr>
          <w:rFonts w:ascii="等线(中文正文)" w:hAnsi="等线(中文正文)" w:cs="等线(中文正文)" w:eastAsia="等线(中文正文)"/>
          <w:b w:val="false"/>
          <w:i w:val="false"/>
          <w:sz w:val="20"/>
        </w:rPr>
        <w:t>发言人1：中美博弈主要议题包括经贸相关问题（如延长经贸缓和期、农产品、能源、波音飞机出口及关税）；战略博弈议题（如稀土出口管制与美国芯片出口限制）；宏观经济类议题；以及地缘政治议题（如伊朗和台海局势），这些议题将在中美交往规则框架下进行对等谈判。</w:t>
      </w:r>
    </w:p>
    <w:p>
      <w:r>
        <w:rPr>
          <w:rFonts w:ascii="等线(中文正文)" w:hAnsi="等线(中文正文)" w:cs="等线(中文正文)" w:eastAsia="等线(中文正文)"/>
          <w:b w:val="false"/>
          <w:i w:val="false"/>
          <w:sz w:val="20"/>
        </w:rPr>
        <w:t/>
      </w:r>
    </w:p>
    <w:p>
      <w:pPr>
        <w:pStyle w:val="ab"/>
      </w:pPr>
      <w:r>
        <w:t>在今晚的分享中，您是如何构建基建出口的研究篮子的，以及最终纳入了多少个HS6位码？</w:t>
      </w:r>
    </w:p>
    <w:p>
      <w:r>
        <w:rPr>
          <w:rFonts w:ascii="等线(中文正文)" w:hAnsi="等线(中文正文)" w:cs="等线(中文正文)" w:eastAsia="等线(中文正文)"/>
          <w:b w:val="false"/>
          <w:i w:val="false"/>
          <w:sz w:val="20"/>
        </w:rPr>
        <w:t>发言人1：我们基于HX6位码构建了一个包含基建相关产品的篮子，并确定了将近850个HS6位码纳入统计口径。</w:t>
      </w:r>
    </w:p>
    <w:p>
      <w:r>
        <w:rPr>
          <w:rFonts w:ascii="等线(中文正文)" w:hAnsi="等线(中文正文)" w:cs="等线(中文正文)" w:eastAsia="等线(中文正文)"/>
          <w:b w:val="false"/>
          <w:i w:val="false"/>
          <w:sz w:val="20"/>
        </w:rPr>
        <w:t/>
      </w:r>
    </w:p>
    <w:p>
      <w:pPr>
        <w:pStyle w:val="ab"/>
      </w:pPr>
      <w:r>
        <w:t>基建相关产品在我国总出口中的占比大概是多少？这一占比是如何变化的？从增速角度来看，基建相关产品出口与整体总出口增速有何特征？</w:t>
      </w:r>
    </w:p>
    <w:p>
      <w:r>
        <w:rPr>
          <w:rFonts w:ascii="等线(中文正文)" w:hAnsi="等线(中文正文)" w:cs="等线(中文正文)" w:eastAsia="等线(中文正文)"/>
          <w:b w:val="false"/>
          <w:i w:val="false"/>
          <w:sz w:val="20"/>
        </w:rPr>
        <w:t>发言人1：基建相关产品在我国总出口中的占比大约是30%，从2016年到现在基本维持在这个水平，近期甚至逼近40%，创下了疫情以来的新高。从2016年以来，基建相关产品的出口增速与整个总出口增速呈现出明显的同涨同跌特征，波动节奏基本同步。</w:t>
      </w:r>
    </w:p>
    <w:p>
      <w:r>
        <w:rPr>
          <w:rFonts w:ascii="等线(中文正文)" w:hAnsi="等线(中文正文)" w:cs="等线(中文正文)" w:eastAsia="等线(中文正文)"/>
          <w:b w:val="false"/>
          <w:i w:val="false"/>
          <w:sz w:val="20"/>
        </w:rPr>
        <w:t/>
      </w:r>
    </w:p>
    <w:p>
      <w:pPr>
        <w:pStyle w:val="ab"/>
      </w:pPr>
      <w:r>
        <w:t>传统基建和新基建在总出口中的比重大致如何？谁更占主导地位？传统基建出口的主要目的地有哪些？</w:t>
      </w:r>
    </w:p>
    <w:p>
      <w:r>
        <w:rPr>
          <w:rFonts w:ascii="等线(中文正文)" w:hAnsi="等线(中文正文)" w:cs="等线(中文正文)" w:eastAsia="等线(中文正文)"/>
          <w:b w:val="false"/>
          <w:i w:val="false"/>
          <w:sz w:val="20"/>
        </w:rPr>
        <w:t>发言人1：传统基建和新基建在总出口中的占比都约为20%左右，但近期数据显示，新基建出口占比加速上行，对出口的拉动作用逐渐增强，成为基建总体出口增长的重要支撑。传统基建出口主要集中在一带一路沿线国家，占比约50%，此外欧盟是第二大目的地，而美国、印度、日韩等市场占比相对较低。</w:t>
      </w:r>
    </w:p>
    <w:p>
      <w:r>
        <w:rPr>
          <w:rFonts w:ascii="等线(中文正文)" w:hAnsi="等线(中文正文)" w:cs="等线(中文正文)" w:eastAsia="等线(中文正文)"/>
          <w:b w:val="false"/>
          <w:i w:val="false"/>
          <w:sz w:val="20"/>
        </w:rPr>
        <w:t/>
      </w:r>
    </w:p>
    <w:p>
      <w:pPr>
        <w:pStyle w:val="ab"/>
      </w:pPr>
      <w:r>
        <w:t>新基建出口的主要流向地是哪里？新基建与传统基建对未来哪些因素有关？</w:t>
      </w:r>
    </w:p>
    <w:p>
      <w:r>
        <w:rPr>
          <w:rFonts w:ascii="等线(中文正文)" w:hAnsi="等线(中文正文)" w:cs="等线(中文正文)" w:eastAsia="等线(中文正文)"/>
          <w:b w:val="false"/>
          <w:i w:val="false"/>
          <w:sz w:val="20"/>
        </w:rPr>
        <w:t>发言人1：新基建出口的一带一路框架下的主要流向地占比约为30%，而出口目的地分布相对多元，如中国香港、美国、欧盟等地，其中特高压输电和工业互联网是主力出口类别。传统基建出口增速与一带一路国家的城市化率中位数增速有明显的同步性；而新基建出口增速与全球资本开支关系更为紧密，当前处于上行周期，但需关注传统资本开支周期末端叠加AI信心投资周期带来的结构性切换影响。</w:t>
      </w:r>
    </w:p>
    <w:p>
      <w:r>
        <w:rPr>
          <w:rFonts w:ascii="等线(中文正文)" w:hAnsi="等线(中文正文)" w:cs="等线(中文正文)" w:eastAsia="等线(中文正文)"/>
          <w:b w:val="false"/>
          <w:i w:val="false"/>
          <w:sz w:val="20"/>
        </w:rPr>
        <w:t/>
      </w:r>
    </w:p>
    <w:p>
      <w:pPr>
        <w:pStyle w:val="ab"/>
      </w:pPr>
      <w:r>
        <w:t>新基建相关产品中哪些类别的出口增速较快？</w:t>
      </w:r>
    </w:p>
    <w:p>
      <w:r>
        <w:rPr>
          <w:rFonts w:ascii="等线(中文正文)" w:hAnsi="等线(中文正文)" w:cs="等线(中文正文)" w:eastAsia="等线(中文正文)"/>
          <w:b w:val="false"/>
          <w:i w:val="false"/>
          <w:sz w:val="20"/>
        </w:rPr>
        <w:t>发言人1：特高压输电和工业互联网在2023年、2024年经历阶段性放缓后，近期增速出现明显回升；而基站通信和高铁轨交类产品的出口增速波动较大，对整体新基建拉动有限。</w:t>
      </w:r>
    </w:p>
    <w:p>
      <w:r>
        <w:rPr>
          <w:rFonts w:ascii="等线(中文正文)" w:hAnsi="等线(中文正文)" w:cs="等线(中文正文)" w:eastAsia="等线(中文正文)"/>
          <w:b w:val="false"/>
          <w:i w:val="false"/>
          <w:sz w:val="20"/>
        </w:rPr>
        <w:t/>
      </w:r>
    </w:p>
    <w:p>
      <w:pPr>
        <w:pStyle w:val="ab"/>
      </w:pPr>
      <w:r>
        <w:t>东盟在我国新旧基建出口中的地位如何？</w:t>
      </w:r>
    </w:p>
    <w:p>
      <w:r>
        <w:rPr>
          <w:rFonts w:ascii="等线(中文正文)" w:hAnsi="等线(中文正文)" w:cs="等线(中文正文)" w:eastAsia="等线(中文正文)"/>
          <w:b w:val="false"/>
          <w:i w:val="false"/>
          <w:sz w:val="20"/>
        </w:rPr>
        <w:t>发言人1：东盟是我国新旧基建出口的核心市场，对传统基建的进口依赖度持续上升，而对新基建进口的依赖度则有所下降，表现出竞争分流效应。短期内传统基建是一带一路方向的增量锚点，长期来看新基建需通过能力输出升级以占据主导地位。</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2026-05-10T15:22:59Z</dcterms:created>
  <dc:creator>Apache POI</dc:creator>
</cp:coreProperties>
</file>