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1君晟-兴证：A股策略观点 260509_导读</w:t>
      </w:r>
    </w:p>
    <w:p>
      <w:pPr>
        <w:pStyle w:val="a0"/>
        <w:jc w:val="center"/>
      </w:pPr>
      <w:r>
        <w:t>2026年05月10日 11:06</w:t>
      </w:r>
    </w:p>
    <w:p>
      <w:pPr>
        <w:pStyle w:val="a7"/>
      </w:pPr>
      <w:r>
        <w:t>关键词</w:t>
      </w:r>
    </w:p>
    <w:p>
      <w:r>
        <w:rPr>
          <w:rFonts w:ascii="等线(中文正文)" w:hAnsi="等线(中文正文)" w:cs="等线(中文正文)" w:eastAsia="等线(中文正文)"/>
          <w:b w:val="false"/>
          <w:i w:val="false"/>
          <w:sz w:val="20"/>
        </w:rPr>
        <w:t xml:space="preserve">策略 仓位 拥挤度 产业趋势 中美关系 财报 地缘 光伏 锂矿 纺织服装 休闲食品 服务器 设备 经济 通胀 AI 投资 高端消费 衰退 美国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集中于即将举行的会议安排，深入探讨了市场未来展望及各行业投资机会。会议将邀请多位专家，涵盖策略、化工、金属、电子及消费等行业，分享专业见解与策略。市场趋势方面，聚焦投资者关注点、行业轮动、拥挤度，以及化工、金属、电子等板块的投资潜力。讨论触及美国市场动态、中美关系及地缘政治对市场的影响，强调这些因素如何塑造投资策略与市场预期。此外，特别分析了券商和保险板块的投资机遇，以及宏观经济恢复对市场的重要作用。整体而言，对话全面覆盖了市场趋势、行业分析、投资机会和宏观环境等多个维度。</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未来材料会议：策略观点与行业投资机会分享</w:t>
      </w:r>
    </w:p>
    <w:p>
      <w:r>
        <w:rPr>
          <w:rFonts w:ascii="等线(中文正文)" w:hAnsi="等线(中文正文)" w:cs="等线(中文正文)" w:eastAsia="等线(中文正文)"/>
          <w:b w:val="false"/>
          <w:i w:val="false"/>
          <w:sz w:val="20"/>
        </w:rPr>
        <w:t>本次未来材料会议围绕市场策略观点及多个行业投资机会展开讨论，涵盖化工、金属、电子、消费等领域，旨在为投资者提供当前时点的投资建议。会议首先由策略总分享市场展望，随后各行业专家依次介绍行业现状与投资机会，强调了当前市场环境下的投资价值与策略选择。</w:t>
      </w:r>
    </w:p>
    <w:p>
      <w:r>
        <w:rPr>
          <w:rFonts w:ascii="等线(中文正文)" w:hAnsi="等线(中文正文)" w:cs="等线(中文正文)" w:eastAsia="等线(中文正文)"/>
          <w:b w:val="false"/>
          <w:i w:val="false"/>
          <w:sz w:val="20"/>
        </w:rPr>
        <w:t/>
      </w:r>
    </w:p>
    <w:p>
      <w:pPr>
        <w:pStyle w:val="ab"/>
        <w:numPr>
          <w:numId w:val="2"/>
        </w:numPr>
      </w:pPr>
      <w:r>
        <w:t>02:28 A股市场调研揭示机构投资者仓位调整趋势</w:t>
      </w:r>
    </w:p>
    <w:p>
      <w:r>
        <w:rPr>
          <w:rFonts w:ascii="等线(中文正文)" w:hAnsi="等线(中文正文)" w:cs="等线(中文正文)" w:eastAsia="等线(中文正文)"/>
          <w:b w:val="false"/>
          <w:i w:val="false"/>
          <w:sz w:val="20"/>
        </w:rPr>
        <w:t>调研显示，A股投资机构对市场空间预期在4000点左右，四月份仓位较三月份显著提升，多数机构选择维持当前仓位，计划调整结构而非大幅增减仓，反映了市场主流机构对当前市场的认可与未来谨慎乐观的态度。</w:t>
      </w:r>
    </w:p>
    <w:p>
      <w:r>
        <w:rPr>
          <w:rFonts w:ascii="等线(中文正文)" w:hAnsi="等线(中文正文)" w:cs="等线(中文正文)" w:eastAsia="等线(中文正文)"/>
          <w:b w:val="false"/>
          <w:i w:val="false"/>
          <w:sz w:val="20"/>
        </w:rPr>
        <w:t/>
      </w:r>
    </w:p>
    <w:p>
      <w:pPr>
        <w:pStyle w:val="ab"/>
        <w:numPr>
          <w:numId w:val="3"/>
        </w:numPr>
      </w:pPr>
      <w:r>
        <w:t>04:37 市场关注焦点转向产业趋势与中美关系</w:t>
      </w:r>
    </w:p>
    <w:p>
      <w:r>
        <w:rPr>
          <w:rFonts w:ascii="等线(中文正文)" w:hAnsi="等线(中文正文)" w:cs="等线(中文正文)" w:eastAsia="等线(中文正文)"/>
          <w:b w:val="false"/>
          <w:i w:val="false"/>
          <w:sz w:val="20"/>
        </w:rPr>
        <w:t>对话中讨论了市场拥挤度现状，指出多数行业处于中等拥挤状态，光伏等曾拥挤行业已回归正常。市场关注焦点从地缘问题转向产业趋势及中美关系，财报关注度低于预期。尽管地缘事件关注度下降，仍需关注其可能影响。</w:t>
      </w:r>
    </w:p>
    <w:p>
      <w:r>
        <w:rPr>
          <w:rFonts w:ascii="等线(中文正文)" w:hAnsi="等线(中文正文)" w:cs="等线(中文正文)" w:eastAsia="等线(中文正文)"/>
          <w:b w:val="false"/>
          <w:i w:val="false"/>
          <w:sz w:val="20"/>
        </w:rPr>
        <w:t/>
      </w:r>
    </w:p>
    <w:p>
      <w:pPr>
        <w:pStyle w:val="ab"/>
        <w:numPr>
          <w:numId w:val="4"/>
        </w:numPr>
      </w:pPr>
      <w:r>
        <w:t>07:33 中美关系与伊朗冲突的未来展望</w:t>
      </w:r>
    </w:p>
    <w:p>
      <w:r>
        <w:rPr>
          <w:rFonts w:ascii="等线(中文正文)" w:hAnsi="等线(中文正文)" w:cs="等线(中文正文)" w:eastAsia="等线(中文正文)"/>
          <w:b w:val="false"/>
          <w:i w:val="false"/>
          <w:sz w:val="20"/>
        </w:rPr>
        <w:t>团队新聘分析师基于专业背景，预测中美关系将回暖，年内可能缓和，且伊朗与美国谈判以伊朗提案为核心，伊朗或在谈判中占据主动。</w:t>
      </w:r>
    </w:p>
    <w:p>
      <w:r>
        <w:rPr>
          <w:rFonts w:ascii="等线(中文正文)" w:hAnsi="等线(中文正文)" w:cs="等线(中文正文)" w:eastAsia="等线(中文正文)"/>
          <w:b w:val="false"/>
          <w:i w:val="false"/>
          <w:sz w:val="20"/>
        </w:rPr>
        <w:t/>
      </w:r>
    </w:p>
    <w:p>
      <w:pPr>
        <w:pStyle w:val="ab"/>
        <w:numPr>
          <w:numId w:val="5"/>
        </w:numPr>
      </w:pPr>
      <w:r>
        <w:t>10:21 美伊谈判与全球资本市场的风险偏好修复</w:t>
      </w:r>
    </w:p>
    <w:p>
      <w:r>
        <w:rPr>
          <w:rFonts w:ascii="等线(中文正文)" w:hAnsi="等线(中文正文)" w:cs="等线(中文正文)" w:eastAsia="等线(中文正文)"/>
          <w:b w:val="false"/>
          <w:i w:val="false"/>
          <w:sz w:val="20"/>
        </w:rPr>
        <w:t>对话讨论了美伊谈判中解除制裁和赔偿问题的可能解决方案，认为双方存在互换条件达成协议的可能性，对全球资本市场风险偏好修复持乐观态度。同时，分析了历史上的石油危机对美国经济的影响，指出当前美国经济状态与以往危机时不同，滞胀水平温和，账面问题相对可控。</w:t>
      </w:r>
    </w:p>
    <w:p>
      <w:r>
        <w:rPr>
          <w:rFonts w:ascii="等线(中文正文)" w:hAnsi="等线(中文正文)" w:cs="等线(中文正文)" w:eastAsia="等线(中文正文)"/>
          <w:b w:val="false"/>
          <w:i w:val="false"/>
          <w:sz w:val="20"/>
        </w:rPr>
        <w:t/>
      </w:r>
    </w:p>
    <w:p>
      <w:pPr>
        <w:pStyle w:val="ab"/>
        <w:numPr>
          <w:numId w:val="6"/>
        </w:numPr>
      </w:pPr>
      <w:r>
        <w:t>14:20 美经济现状与全球流动性预期分析</w:t>
      </w:r>
    </w:p>
    <w:p>
      <w:r>
        <w:rPr>
          <w:rFonts w:ascii="等线(中文正文)" w:hAnsi="等线(中文正文)" w:cs="等线(中文正文)" w:eastAsia="等线(中文正文)"/>
          <w:b w:val="false"/>
          <w:i w:val="false"/>
          <w:sz w:val="20"/>
        </w:rPr>
        <w:t>讨论了美国经济数据的虚高现象，以及油价上涨对通胀的影响。指出当前美国经济面临的质的问题更为严重，而全球流动性收紧的预期正在缓解，市场有继续向上的动力。</w:t>
      </w:r>
    </w:p>
    <w:p>
      <w:r>
        <w:rPr>
          <w:rFonts w:ascii="等线(中文正文)" w:hAnsi="等线(中文正文)" w:cs="等线(中文正文)" w:eastAsia="等线(中文正文)"/>
          <w:b w:val="false"/>
          <w:i w:val="false"/>
          <w:sz w:val="20"/>
        </w:rPr>
        <w:t/>
      </w:r>
    </w:p>
    <w:p>
      <w:pPr>
        <w:pStyle w:val="ab"/>
        <w:numPr>
          <w:numId w:val="7"/>
        </w:numPr>
      </w:pPr>
      <w:r>
        <w:t>17:24 2026年股市变化：估值驱动转向盈利驱动</w:t>
      </w:r>
    </w:p>
    <w:p>
      <w:r>
        <w:rPr>
          <w:rFonts w:ascii="等线(中文正文)" w:hAnsi="等线(中文正文)" w:cs="等线(中文正文)" w:eastAsia="等线(中文正文)"/>
          <w:b w:val="false"/>
          <w:i w:val="false"/>
          <w:sz w:val="20"/>
        </w:rPr>
        <w:t>2026年，全球股市将从估值驱动转向盈利驱动，A股市场估值已至中高点，盈利修复成为关键。投资者预期2026年权益市场收益与盈利增速预测趋同，预计非金融行业盈利增速可达12%-18%。市场对盈利修复的认知正逐步增强，认为盈利将成为今年市场增长的主要动力。</w:t>
      </w:r>
    </w:p>
    <w:p>
      <w:r>
        <w:rPr>
          <w:rFonts w:ascii="等线(中文正文)" w:hAnsi="等线(中文正文)" w:cs="等线(中文正文)" w:eastAsia="等线(中文正文)"/>
          <w:b w:val="false"/>
          <w:i w:val="false"/>
          <w:sz w:val="20"/>
        </w:rPr>
        <w:t/>
      </w:r>
    </w:p>
    <w:p>
      <w:pPr>
        <w:pStyle w:val="ab"/>
        <w:numPr>
          <w:numId w:val="8"/>
        </w:numPr>
      </w:pPr>
      <w:r>
        <w:t>22:19 科技风格回归与盈利增长推动市场</w:t>
      </w:r>
    </w:p>
    <w:p>
      <w:r>
        <w:rPr>
          <w:rFonts w:ascii="等线(中文正文)" w:hAnsi="等线(中文正文)" w:cs="等线(中文正文)" w:eastAsia="等线(中文正文)"/>
          <w:b w:val="false"/>
          <w:i w:val="false"/>
          <w:sz w:val="20"/>
        </w:rPr>
        <w:t>年初调整后，科技风格在四月份回归，受地缘缓和及流动性预期改善影响，中美科技股业绩表现良好，全球算力需求持续增长，国产芯片业绩超预期。五月作为海外科技业密集披露期，有望带动A股TMT硬件板块上涨，延续科技风格。</w:t>
      </w:r>
    </w:p>
    <w:p>
      <w:r>
        <w:rPr>
          <w:rFonts w:ascii="等线(中文正文)" w:hAnsi="等线(中文正文)" w:cs="等线(中文正文)" w:eastAsia="等线(中文正文)"/>
          <w:b w:val="false"/>
          <w:i w:val="false"/>
          <w:sz w:val="20"/>
        </w:rPr>
        <w:t/>
      </w:r>
    </w:p>
    <w:p>
      <w:pPr>
        <w:pStyle w:val="ab"/>
        <w:numPr>
          <w:numId w:val="9"/>
        </w:numPr>
      </w:pPr>
      <w:r>
        <w:t>26:58 A股市场风格与景气度分析：成长主线与科技亮点</w:t>
      </w:r>
    </w:p>
    <w:p>
      <w:r>
        <w:rPr>
          <w:rFonts w:ascii="等线(中文正文)" w:hAnsi="等线(中文正文)" w:cs="等线(中文正文)" w:eastAsia="等线(中文正文)"/>
          <w:b w:val="false"/>
          <w:i w:val="false"/>
          <w:sz w:val="20"/>
        </w:rPr>
        <w:t>从市场认知和预期角度分析，A股未来一个月风格偏向成长，景气度验证科技板块亮眼表现，光模块、算力半导体存储成为交易主线，新能源、军工机器人等先进制造紧随其后。</w:t>
      </w:r>
    </w:p>
    <w:p>
      <w:r>
        <w:rPr>
          <w:rFonts w:ascii="等线(中文正文)" w:hAnsi="等线(中文正文)" w:cs="等线(中文正文)" w:eastAsia="等线(中文正文)"/>
          <w:b w:val="false"/>
          <w:i w:val="false"/>
          <w:sz w:val="20"/>
        </w:rPr>
        <w:t/>
      </w:r>
    </w:p>
    <w:p>
      <w:pPr>
        <w:pStyle w:val="ab"/>
        <w:numPr>
          <w:numId w:val="10"/>
        </w:numPr>
      </w:pPr>
      <w:r>
        <w:t>29:23 AI产业链上游与国产算力补涨分析</w:t>
      </w:r>
    </w:p>
    <w:p>
      <w:r>
        <w:rPr>
          <w:rFonts w:ascii="等线(中文正文)" w:hAnsi="等线(中文正文)" w:cs="等线(中文正文)" w:eastAsia="等线(中文正文)"/>
          <w:b w:val="false"/>
          <w:i w:val="false"/>
          <w:sz w:val="20"/>
        </w:rPr>
        <w:t>对话讨论了AI产业链的五个方向，特别是上游的网络通信硬件、芯片存储及AIDC，以及中下游的模型算法、软件服务和应用。分析指出，今年以来涨幅集中于上游，预计后续将向芯片存储和AIDC扩散。业绩对比显示，增速与涨跌幅正相关，国产算力存在20%-30%的补涨空间。海外映射显示，从光通信到半导体接力，国内也呈现类似趋势，国产算力比价虽高，但已有补涨迹象。</w:t>
      </w:r>
    </w:p>
    <w:p>
      <w:r>
        <w:rPr>
          <w:rFonts w:ascii="等线(中文正文)" w:hAnsi="等线(中文正文)" w:cs="等线(中文正文)" w:eastAsia="等线(中文正文)"/>
          <w:b w:val="false"/>
          <w:i w:val="false"/>
          <w:sz w:val="20"/>
        </w:rPr>
        <w:t/>
      </w:r>
    </w:p>
    <w:p>
      <w:pPr>
        <w:pStyle w:val="ab"/>
        <w:numPr>
          <w:numId w:val="11"/>
        </w:numPr>
      </w:pPr>
      <w:r>
        <w:t>32:22 AI行情扩散与科技投资映射分析</w:t>
      </w:r>
    </w:p>
    <w:p>
      <w:r>
        <w:rPr>
          <w:rFonts w:ascii="等线(中文正文)" w:hAnsi="等线(中文正文)" w:cs="等线(中文正文)" w:eastAsia="等线(中文正文)"/>
          <w:b w:val="false"/>
          <w:i w:val="false"/>
          <w:sz w:val="20"/>
        </w:rPr>
        <w:t>讨论了AI行情的扩散方向，指出从国产产品、数据中心到端侧应用的传导顺序，同时强调全球科技投资对A股的映射效应，建议关注美股主题方向。</w:t>
      </w:r>
    </w:p>
    <w:p>
      <w:r>
        <w:rPr>
          <w:rFonts w:ascii="等线(中文正文)" w:hAnsi="等线(中文正文)" w:cs="等线(中文正文)" w:eastAsia="等线(中文正文)"/>
          <w:b w:val="false"/>
          <w:i w:val="false"/>
          <w:sz w:val="20"/>
        </w:rPr>
        <w:t/>
      </w:r>
    </w:p>
    <w:p>
      <w:pPr>
        <w:pStyle w:val="ab"/>
        <w:numPr>
          <w:numId w:val="12"/>
        </w:numPr>
      </w:pPr>
      <w:r>
        <w:t>34:20 AI与计算机行业展望：业绩验证与市场扩散</w:t>
      </w:r>
    </w:p>
    <w:p>
      <w:r>
        <w:rPr>
          <w:rFonts w:ascii="等线(中文正文)" w:hAnsi="等线(中文正文)" w:cs="等线(中文正文)" w:eastAsia="等线(中文正文)"/>
          <w:b w:val="false"/>
          <w:i w:val="false"/>
          <w:sz w:val="20"/>
        </w:rPr>
        <w:t>对话讨论了AI与计算机行业的一季报表现，指出计算机行业增速遥遥领先，涨幅偏弱的中游技术软件服务存在补涨空间。AI科技主线将从过热板块向中下游及上游存储半导体芯片、AIGC等扩散，港股恒生科技亦是AI传导链条之一。整体展望认为AI科技仍为阶段性主线，业绩验证、美股映射与日历效应将推动市场发展。</w:t>
      </w:r>
    </w:p>
    <w:p>
      <w:r>
        <w:rPr>
          <w:rFonts w:ascii="等线(中文正文)" w:hAnsi="等线(中文正文)" w:cs="等线(中文正文)" w:eastAsia="等线(中文正文)"/>
          <w:b w:val="false"/>
          <w:i w:val="false"/>
          <w:sz w:val="20"/>
        </w:rPr>
        <w:t/>
      </w:r>
    </w:p>
    <w:p>
      <w:pPr>
        <w:pStyle w:val="ab"/>
        <w:numPr>
          <w:numId w:val="13"/>
        </w:numPr>
      </w:pPr>
      <w:r>
        <w:t>35:54 AI与出海链：市场主线与投资展望</w:t>
      </w:r>
    </w:p>
    <w:p>
      <w:r>
        <w:rPr>
          <w:rFonts w:ascii="等线(中文正文)" w:hAnsi="等线(中文正文)" w:cs="等线(中文正文)" w:eastAsia="等线(中文正文)"/>
          <w:b w:val="false"/>
          <w:i w:val="false"/>
          <w:sz w:val="20"/>
        </w:rPr>
        <w:t>讨论了AI领域的成交占比、业绩与盈利对市场影响的重要性，以及出海链作为经济亮点的投资价值，认为未来市场主线仍将是AI与出海链，下半年市场风格可能变化，需关注新能源与机械设备等领域。</w:t>
      </w:r>
    </w:p>
    <w:p>
      <w:r>
        <w:rPr>
          <w:rFonts w:ascii="等线(中文正文)" w:hAnsi="等线(中文正文)" w:cs="等线(中文正文)" w:eastAsia="等线(中文正文)"/>
          <w:b w:val="false"/>
          <w:i w:val="false"/>
          <w:sz w:val="20"/>
        </w:rPr>
        <w:t/>
      </w:r>
    </w:p>
    <w:p>
      <w:pPr>
        <w:pStyle w:val="ab"/>
        <w:numPr>
          <w:numId w:val="14"/>
        </w:numPr>
      </w:pPr>
      <w:r>
        <w:t>41:27 地缘冲突下中国制造业出口优势分析</w:t>
      </w:r>
    </w:p>
    <w:p>
      <w:r>
        <w:rPr>
          <w:rFonts w:ascii="等线(中文正文)" w:hAnsi="等线(中文正文)" w:cs="等线(中文正文)" w:eastAsia="等线(中文正文)"/>
          <w:b w:val="false"/>
          <w:i w:val="false"/>
          <w:sz w:val="20"/>
        </w:rPr>
        <w:t>对话深入探讨了在全球地缘冲突背景下，中国制造业如何通过能源自主、完备产业链及新优势产业（如新能源、锂电、光伏等）实现出口份额的持续扩张。通过复盘历史事件，如疫情和日本经济转型，强调了制造业强国在危机中的受益特性。同时，对话指出中国出口的顺价能力及高端制造业的毛利提升，证明了中国制造业在全球供应链中的竞争力和稳定性，认为AI与出海战略将共同推动中国经济企稳修复。</w:t>
      </w:r>
    </w:p>
    <w:p>
      <w:r>
        <w:rPr>
          <w:rFonts w:ascii="等线(中文正文)" w:hAnsi="等线(中文正文)" w:cs="等线(中文正文)" w:eastAsia="等线(中文正文)"/>
          <w:b w:val="false"/>
          <w:i w:val="false"/>
          <w:sz w:val="20"/>
        </w:rPr>
        <w:t/>
      </w:r>
    </w:p>
    <w:p>
      <w:pPr>
        <w:pStyle w:val="ab"/>
        <w:numPr>
          <w:numId w:val="15"/>
        </w:numPr>
      </w:pPr>
      <w:r>
        <w:t>45:01 中国经济转型与产业驱动下的市场展望</w:t>
      </w:r>
    </w:p>
    <w:p>
      <w:r>
        <w:rPr>
          <w:rFonts w:ascii="等线(中文正文)" w:hAnsi="等线(中文正文)" w:cs="等线(中文正文)" w:eastAsia="等线(中文正文)"/>
          <w:b w:val="false"/>
          <w:i w:val="false"/>
          <w:sz w:val="20"/>
        </w:rPr>
        <w:t>对话深入探讨了中国经济转型过程中，中游制造业和TMT行业成为经济新驱动力的现象，以及由此带来的企业盈利修复与宏观微观背离的现状。同时，预测下半年市场风格将更加分散，投资机会可能在科技出海与困境反转的板块中均衡分布，整体指数有望创新高。</w:t>
      </w:r>
    </w:p>
    <w:p>
      <w:r>
        <w:rPr>
          <w:rFonts w:ascii="等线(中文正文)" w:hAnsi="等线(中文正文)" w:cs="等线(中文正文)" w:eastAsia="等线(中文正文)"/>
          <w:b w:val="false"/>
          <w:i w:val="false"/>
          <w:sz w:val="20"/>
        </w:rPr>
        <w:t/>
      </w:r>
    </w:p>
    <w:p>
      <w:pPr>
        <w:pStyle w:val="ab"/>
        <w:numPr>
          <w:numId w:val="16"/>
        </w:numPr>
      </w:pPr>
      <w:r>
        <w:t>51:43 经济修复与行业展望：金融、科技与化工的机遇</w:t>
      </w:r>
    </w:p>
    <w:p>
      <w:r>
        <w:rPr>
          <w:rFonts w:ascii="等线(中文正文)" w:hAnsi="等线(中文正文)" w:cs="等线(中文正文)" w:eastAsia="等线(中文正文)"/>
          <w:b w:val="false"/>
          <w:i w:val="false"/>
          <w:sz w:val="20"/>
        </w:rPr>
        <w:t>对话围绕经济修复背景下各行业的发展潜力展开，重点讨论了金融保险、科技及化工新材料领域的机会与挑战。对于达到4500点指数的预测，指出需地产、消费金融等板块带动，强调科技单独拉动难度大。提及券商行业薪酬回升，证金抛售压力缓解，看好券商与保险的长期价值。同时，对科技板块持谨慎态度，认为需经济修复共识形成后方能激发老资产活力。最后，对中美关系持乐观态度，认为今年整体状态不错，上半年或为集中机会期。</w:t>
      </w:r>
    </w:p>
    <w:p>
      <w:r>
        <w:rPr>
          <w:rFonts w:ascii="等线(中文正文)" w:hAnsi="等线(中文正文)" w:cs="等线(中文正文)" w:eastAsia="等线(中文正文)"/>
          <w:b w:val="false"/>
          <w:i w:val="false"/>
          <w:sz w:val="20"/>
        </w:rPr>
        <w:t/>
      </w:r>
    </w:p>
    <w:p>
      <w:pPr>
        <w:pStyle w:val="a7"/>
      </w:pPr>
      <w:r>
        <w:t>发言总结</w:t>
      </w:r>
    </w:p>
    <w:p>
      <w:pPr>
        <w:pStyle w:val="ab"/>
        <w:numPr>
          <w:numId w:val="17"/>
        </w:numPr>
      </w:pPr>
      <w:r>
        <w:t>发言人1</w:t>
      </w:r>
    </w:p>
    <w:p>
      <w:r>
        <w:rPr>
          <w:rFonts w:ascii="等线(中文正文)" w:hAnsi="等线(中文正文)" w:cs="等线(中文正文)" w:eastAsia="等线(中文正文)"/>
          <w:b w:val="false"/>
          <w:i w:val="false"/>
          <w:sz w:val="20"/>
        </w:rPr>
        <w:t>首先对会议表示欢迎，并介绍了会议的主要日程安排，强调了下午讨论内容的吸引力，强调了策略和行业观点的分享。随后，详细介绍了即将进行的讨论内容，包括不同行业的策略讲解，如化工、金属、电子和消费社服的投资机会。特别提到了市场调研的重要性，强调了这次调研参考了美银的全球基金经理调研，对A股投资机构进行了调研，旨在了解市场主流机构对当前市场和未来的看法。他还谈到了市场趋势、地缘政治影响、中美关系、上市公司财报等关键话题，强调了中美关系对市场的影响逐渐减弱，而产业趋势成为市场关注的核心。在投资策略方面，他认为市场上涨和反弹并没有结束，下半年市场的风格可能会更加分散和多元化，指数可能再次创下新高，强调了对于下半年市场的乐观预期。最后，特别强调了券商板块的投资机会，认为券商在当前市场环境下可能有较好的表现。</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问：下午的会议日程有哪些内容？</w:t>
      </w:r>
    </w:p>
    <w:p>
      <w:r>
        <w:rPr>
          <w:rFonts w:ascii="等线(中文正文)" w:hAnsi="等线(中文正文)" w:cs="等线(中文正文)" w:eastAsia="等线(中文正文)"/>
          <w:b w:val="false"/>
          <w:i w:val="false"/>
          <w:sz w:val="20"/>
        </w:rPr>
        <w:t>发言人1 答：下午的会议日程非常丰富，首先由兴业策略的启敖总分享他们对于接下来一段时间市场的整体展望。接着是申万化工的宋涛宋总介绍化工行业的投资机会，然后是国家民生金属团队的张立新张总分析金属行业。之后，中泰电子行业的王芳方总将讲解电子行业的投资价值。再者，国泰海通的刘越男刘总负责梳理消费和社服行业的投资机会。最后，华创的欧阳勇总将探讨食品营销领域的投资策略。</w:t>
      </w:r>
    </w:p>
    <w:p>
      <w:r>
        <w:rPr>
          <w:rFonts w:ascii="等线(中文正文)" w:hAnsi="等线(中文正文)" w:cs="等线(中文正文)" w:eastAsia="等线(中文正文)"/>
          <w:b w:val="false"/>
          <w:i w:val="false"/>
          <w:sz w:val="20"/>
        </w:rPr>
        <w:t/>
      </w:r>
    </w:p>
    <w:p>
      <w:pPr>
        <w:pStyle w:val="ab"/>
      </w:pPr>
      <w:r>
        <w:t>发言人1 问：你们是如何进行市场调研的，以及这次调研的主要发现是什么？</w:t>
      </w:r>
    </w:p>
    <w:p>
      <w:r>
        <w:rPr>
          <w:rFonts w:ascii="等线(中文正文)" w:hAnsi="等线(中文正文)" w:cs="等线(中文正文)" w:eastAsia="等线(中文正文)"/>
          <w:b w:val="false"/>
          <w:i w:val="false"/>
          <w:sz w:val="20"/>
        </w:rPr>
        <w:t>发言人1 答：我们参考了一个类似美银全球基金经理调研的活动，从三月份开始每月进行本土A股的投资机构调研，最近一次调研共有接近200位核心投研总监、基金经理和研究员参与。根据调研结果，当前市场主流机构对于A股市场的关注和判断将作为我们报告的重要组成部分。</w:t>
      </w:r>
    </w:p>
    <w:p>
      <w:r>
        <w:rPr>
          <w:rFonts w:ascii="等线(中文正文)" w:hAnsi="等线(中文正文)" w:cs="等线(中文正文)" w:eastAsia="等线(中文正文)"/>
          <w:b w:val="false"/>
          <w:i w:val="false"/>
          <w:sz w:val="20"/>
        </w:rPr>
        <w:t/>
      </w:r>
    </w:p>
    <w:p>
      <w:pPr>
        <w:pStyle w:val="ab"/>
      </w:pPr>
      <w:r>
        <w:t>发言人1 问：关于当前市场行情的空间和仓位变化如何？</w:t>
      </w:r>
    </w:p>
    <w:p>
      <w:r>
        <w:rPr>
          <w:rFonts w:ascii="等线(中文正文)" w:hAnsi="等线(中文正文)" w:cs="等线(中文正文)" w:eastAsia="等线(中文正文)"/>
          <w:b w:val="false"/>
          <w:i w:val="false"/>
          <w:sz w:val="20"/>
        </w:rPr>
        <w:t>发言人1 答：调研结果显示，大部分机构认为本轮指数可能接近4000点左右，符合市场预期。同时，相比三月份，四月份公募基金的相对收益和仓位都有所提升，目前处于相对较高的水平。对于未来一个月的仓位调整预期，多数机构选择维持现有仓位不变，但可能会调整结构。</w:t>
      </w:r>
    </w:p>
    <w:p>
      <w:r>
        <w:rPr>
          <w:rFonts w:ascii="等线(中文正文)" w:hAnsi="等线(中文正文)" w:cs="等线(中文正文)" w:eastAsia="等线(中文正文)"/>
          <w:b w:val="false"/>
          <w:i w:val="false"/>
          <w:sz w:val="20"/>
        </w:rPr>
        <w:t/>
      </w:r>
    </w:p>
    <w:p>
      <w:pPr>
        <w:pStyle w:val="ab"/>
      </w:pPr>
      <w:r>
        <w:t>发言人1 问：目前拥挤度指标显示市场情况如何？</w:t>
      </w:r>
    </w:p>
    <w:p>
      <w:r>
        <w:rPr>
          <w:rFonts w:ascii="等线(中文正文)" w:hAnsi="等线(中文正文)" w:cs="等线(中文正文)" w:eastAsia="等线(中文正文)"/>
          <w:b w:val="false"/>
          <w:i w:val="false"/>
          <w:sz w:val="20"/>
        </w:rPr>
        <w:t>发言人1 答：目前大多数行业的拥挤度处于中等位置，并未出现严重的过热情况。尽管有一些行业如光伏等拥挤度有所上升，但整体上，这波上涨或反弹行情可能还未结束，更多表现为行业轮动的特点。</w:t>
      </w:r>
    </w:p>
    <w:p>
      <w:r>
        <w:rPr>
          <w:rFonts w:ascii="等线(中文正文)" w:hAnsi="等线(中文正文)" w:cs="等线(中文正文)" w:eastAsia="等线(中文正文)"/>
          <w:b w:val="false"/>
          <w:i w:val="false"/>
          <w:sz w:val="20"/>
        </w:rPr>
        <w:t/>
      </w:r>
    </w:p>
    <w:p>
      <w:pPr>
        <w:pStyle w:val="ab"/>
      </w:pPr>
      <w:r>
        <w:t>发言人1 问：现阶段市场最关心的问题是什么？</w:t>
      </w:r>
    </w:p>
    <w:p>
      <w:r>
        <w:rPr>
          <w:rFonts w:ascii="等线(中文正文)" w:hAnsi="等线(中文正文)" w:cs="等线(中文正文)" w:eastAsia="等线(中文正文)"/>
          <w:b w:val="false"/>
          <w:i w:val="false"/>
          <w:sz w:val="20"/>
        </w:rPr>
        <w:t>发言人1 答：从调研结果来看，市场现阶段最关注的问题已经从上个月的地缘政治问题转变为对未来产业趋势的关注，尤其是重要新品发布、产会议等产业趋势的变化。地缘政治的影响显著下降，而上市公司财报的关注度相对较低。</w:t>
      </w:r>
    </w:p>
    <w:p>
      <w:r>
        <w:rPr>
          <w:rFonts w:ascii="等线(中文正文)" w:hAnsi="等线(中文正文)" w:cs="等线(中文正文)" w:eastAsia="等线(中文正文)"/>
          <w:b w:val="false"/>
          <w:i w:val="false"/>
          <w:sz w:val="20"/>
        </w:rPr>
        <w:t/>
      </w:r>
    </w:p>
    <w:p>
      <w:pPr>
        <w:pStyle w:val="ab"/>
      </w:pPr>
      <w:r>
        <w:t>发言人1 问：对于未来地缘政治尤其是中美关系的看法如何？</w:t>
      </w:r>
    </w:p>
    <w:p>
      <w:r>
        <w:rPr>
          <w:rFonts w:ascii="等线(中文正文)" w:hAnsi="等线(中文正文)" w:cs="等线(中文正文)" w:eastAsia="等线(中文正文)"/>
          <w:b w:val="false"/>
          <w:i w:val="false"/>
          <w:sz w:val="20"/>
        </w:rPr>
        <w:t>发言人1 答：我们认为今年中美关系仍处于蜜月期，访华事件有望进一步验证这一乐观态势。尽管地缘政治事件的关注度下降，但我们团队有一位专门研究地缘的分析师，基于逻辑推演，我们对未来的冲突缓和及谈判落地持乐观态度，认为双方都有寻求共识和达成协议的可能性。</w:t>
      </w:r>
    </w:p>
    <w:p>
      <w:r>
        <w:rPr>
          <w:rFonts w:ascii="等线(中文正文)" w:hAnsi="等线(中文正文)" w:cs="等线(中文正文)" w:eastAsia="等线(中文正文)"/>
          <w:b w:val="false"/>
          <w:i w:val="false"/>
          <w:sz w:val="20"/>
        </w:rPr>
        <w:t/>
      </w:r>
    </w:p>
    <w:p>
      <w:pPr>
        <w:pStyle w:val="ab"/>
      </w:pPr>
      <w:r>
        <w:t>发言人1 问：对于老美而言，伊朗是否可能在无核问题上做出让步？特朗普下台的关键因素是什么？</w:t>
      </w:r>
    </w:p>
    <w:p>
      <w:r>
        <w:rPr>
          <w:rFonts w:ascii="等线(中文正文)" w:hAnsi="等线(中文正文)" w:cs="等线(中文正文)" w:eastAsia="等线(中文正文)"/>
          <w:b w:val="false"/>
          <w:i w:val="false"/>
          <w:sz w:val="20"/>
        </w:rPr>
        <w:t>发言人1 答：我们对谈判整体上保持乐观态度，认为双方存在一定的互换条件的可能性，因此有理由相信谈判能在中期达成并落地，至少不会再升级。这有助于全球资本市场风险偏好的修复。对于特朗普来说，关键在于能否通过与伊朗的谈判，在无核问题上取得进展，同时对于涉及石油、导弹等领域的严格限制，可能难以完全避免，但双方有可能找到一定的妥协空间。</w:t>
      </w:r>
    </w:p>
    <w:p>
      <w:r>
        <w:rPr>
          <w:rFonts w:ascii="等线(中文正文)" w:hAnsi="等线(中文正文)" w:cs="等线(中文正文)" w:eastAsia="等线(中文正文)"/>
          <w:b w:val="false"/>
          <w:i w:val="false"/>
          <w:sz w:val="20"/>
        </w:rPr>
        <w:t/>
      </w:r>
    </w:p>
    <w:p>
      <w:pPr>
        <w:pStyle w:val="ab"/>
      </w:pPr>
      <w:r>
        <w:t>发言人1 问：对于中国市场而言，当前的通胀和货币政策阶段有何影响？</w:t>
      </w:r>
    </w:p>
    <w:p>
      <w:r>
        <w:rPr>
          <w:rFonts w:ascii="等线(中文正文)" w:hAnsi="等线(中文正文)" w:cs="等线(中文正文)" w:eastAsia="等线(中文正文)"/>
          <w:b w:val="false"/>
          <w:i w:val="false"/>
          <w:sz w:val="20"/>
        </w:rPr>
        <w:t>发言人1 答：在中国，通胀问题并不构成对货币政策阶段的主要制约，而且随着市场对于滞胀风险担忧的缓解以及全球流动性收紧预期的修正，中国市场仍有望保持向上的趋势。</w:t>
      </w:r>
    </w:p>
    <w:p>
      <w:r>
        <w:rPr>
          <w:rFonts w:ascii="等线(中文正文)" w:hAnsi="等线(中文正文)" w:cs="等线(中文正文)" w:eastAsia="等线(中文正文)"/>
          <w:b w:val="false"/>
          <w:i w:val="false"/>
          <w:sz w:val="20"/>
        </w:rPr>
        <w:t/>
      </w:r>
    </w:p>
    <w:p>
      <w:pPr>
        <w:pStyle w:val="ab"/>
      </w:pPr>
      <w:r>
        <w:t>发言人1 问：本轮美国滞胀与历史上的几次石油危机相比有何不同？</w:t>
      </w:r>
    </w:p>
    <w:p>
      <w:r>
        <w:rPr>
          <w:rFonts w:ascii="等线(中文正文)" w:hAnsi="等线(中文正文)" w:cs="等线(中文正文)" w:eastAsia="等线(中文正文)"/>
          <w:b w:val="false"/>
          <w:i w:val="false"/>
          <w:sz w:val="20"/>
        </w:rPr>
        <w:t>发言人1 答：目前美国的滞胀水平相对温和，约为2.4%，远低于过去几次石油危机时的水平。此外，如果剔除非必需品消费（如AI投资带来的高端消费），美国经济数据表现更为脆弱，甚至接近衰退状态。因此，只要油价不出现大幅度冲高，美联储收紧货币政策的压力相对较小。</w:t>
      </w:r>
    </w:p>
    <w:p>
      <w:r>
        <w:rPr>
          <w:rFonts w:ascii="等线(中文正文)" w:hAnsi="等线(中文正文)" w:cs="等线(中文正文)" w:eastAsia="等线(中文正文)"/>
          <w:b w:val="false"/>
          <w:i w:val="false"/>
          <w:sz w:val="20"/>
        </w:rPr>
        <w:t/>
      </w:r>
    </w:p>
    <w:p>
      <w:pPr>
        <w:pStyle w:val="ab"/>
      </w:pPr>
      <w:r>
        <w:t>发言人1 问：当前市场对于美国未来利率走势的预期如何？</w:t>
      </w:r>
    </w:p>
    <w:p>
      <w:r>
        <w:rPr>
          <w:rFonts w:ascii="等线(中文正文)" w:hAnsi="等线(中文正文)" w:cs="等线(中文正文)" w:eastAsia="等线(中文正文)"/>
          <w:b w:val="false"/>
          <w:i w:val="false"/>
          <w:sz w:val="20"/>
        </w:rPr>
        <w:t>发言人1 答：市场普遍预期美联储会在明年9月份之前开始降息，甚至可能在今年下半年就有降息的可能性。这表明对于全球流动性的担忧正在出现回摆，未来有望继续提供支持。</w:t>
      </w:r>
    </w:p>
    <w:p>
      <w:r>
        <w:rPr>
          <w:rFonts w:ascii="等线(中文正文)" w:hAnsi="等线(中文正文)" w:cs="等线(中文正文)" w:eastAsia="等线(中文正文)"/>
          <w:b w:val="false"/>
          <w:i w:val="false"/>
          <w:sz w:val="20"/>
        </w:rPr>
        <w:t/>
      </w:r>
    </w:p>
    <w:p>
      <w:pPr>
        <w:pStyle w:val="ab"/>
      </w:pPr>
      <w:r>
        <w:t>发言人1 问：2026年资产配置环境的主要驱动力将发生怎样的变化？</w:t>
      </w:r>
    </w:p>
    <w:p>
      <w:r>
        <w:rPr>
          <w:rFonts w:ascii="等线(中文正文)" w:hAnsi="等线(中文正文)" w:cs="等线(中文正文)" w:eastAsia="等线(中文正文)"/>
          <w:b w:val="false"/>
          <w:i w:val="false"/>
          <w:sz w:val="20"/>
        </w:rPr>
        <w:t>发言人1 答：今年资产配置环境的核心驱动力将从估值驱动转向盈利驱动。尽管宽松环境未因战争改变，但宽松力度和节奏可能会放缓，因此难以再像前两年那样依赖估值扩张，而需要关注盈利修复的情况。好消息是，在一季报中已体现出盈利增速有望接上，这可能支撑市场行情。</w:t>
      </w:r>
    </w:p>
    <w:p>
      <w:r>
        <w:rPr>
          <w:rFonts w:ascii="等线(中文正文)" w:hAnsi="等线(中文正文)" w:cs="等线(中文正文)" w:eastAsia="等线(中文正文)"/>
          <w:b w:val="false"/>
          <w:i w:val="false"/>
          <w:sz w:val="20"/>
        </w:rPr>
        <w:t/>
      </w:r>
    </w:p>
    <w:p>
      <w:pPr>
        <w:pStyle w:val="ab"/>
      </w:pPr>
      <w:r>
        <w:t>发言人1 问：对于2026年权益的盈利增速预测是多少？盈利增速对A股市场的重要性体现在哪里？</w:t>
      </w:r>
    </w:p>
    <w:p>
      <w:r>
        <w:rPr>
          <w:rFonts w:ascii="等线(中文正文)" w:hAnsi="等线(中文正文)" w:cs="等线(中文正文)" w:eastAsia="等线(中文正文)"/>
          <w:b w:val="false"/>
          <w:i w:val="false"/>
          <w:sz w:val="20"/>
        </w:rPr>
        <w:t>发言人1 答：根据问卷调查结果，对于2026年权益的盈利增速预测，最集中的观点是5%到10%，其次是有较多人预测为10%到15%，同时也有约20%的人认为今年权益市场的增速能够超过10%，达到10%以上。盈利增速对于A股市场的影响至关重要，如果盈利贡献10%的增长，以4400点为基准，今年A股市场可能达到4300至4400点的位置。因此，盈利对于市场推动的作用是今年A股面临的一个重要变化。</w:t>
      </w:r>
    </w:p>
    <w:p>
      <w:r>
        <w:rPr>
          <w:rFonts w:ascii="等线(中文正文)" w:hAnsi="等线(中文正文)" w:cs="等线(中文正文)" w:eastAsia="等线(中文正文)"/>
          <w:b w:val="false"/>
          <w:i w:val="false"/>
          <w:sz w:val="20"/>
        </w:rPr>
        <w:t/>
      </w:r>
    </w:p>
    <w:p>
      <w:pPr>
        <w:pStyle w:val="ab"/>
      </w:pPr>
      <w:r>
        <w:t>发言人1 问：当前市场中对于今年权益能实现10%以上增速的预期占比如何？</w:t>
      </w:r>
    </w:p>
    <w:p>
      <w:r>
        <w:rPr>
          <w:rFonts w:ascii="等线(中文正文)" w:hAnsi="等线(中文正文)" w:cs="等线(中文正文)" w:eastAsia="等线(中文正文)"/>
          <w:b w:val="false"/>
          <w:i w:val="false"/>
          <w:sz w:val="20"/>
        </w:rPr>
        <w:t>发言人1 答：相比之前，现在认为今年权益市场能够实现10%以上增速的人数大幅上升，已占到约20%的比例，而去年这个观点被认为是过于乐观的预测。</w:t>
      </w:r>
    </w:p>
    <w:p>
      <w:r>
        <w:rPr>
          <w:rFonts w:ascii="等线(中文正文)" w:hAnsi="等线(中文正文)" w:cs="等线(中文正文)" w:eastAsia="等线(中文正文)"/>
          <w:b w:val="false"/>
          <w:i w:val="false"/>
          <w:sz w:val="20"/>
        </w:rPr>
        <w:t/>
      </w:r>
    </w:p>
    <w:p>
      <w:pPr>
        <w:pStyle w:val="ab"/>
      </w:pPr>
      <w:r>
        <w:t>发言人1 问：科技板块在市场风格上的地位如何？</w:t>
      </w:r>
    </w:p>
    <w:p>
      <w:r>
        <w:rPr>
          <w:rFonts w:ascii="等线(中文正文)" w:hAnsi="等线(中文正文)" w:cs="等线(中文正文)" w:eastAsia="等线(中文正文)"/>
          <w:b w:val="false"/>
          <w:i w:val="false"/>
          <w:sz w:val="20"/>
        </w:rPr>
        <w:t>发言人1 答：科技板块是今年阶段性的主要风格主线，年初经历过调整后，在近期又回归关注焦点。中美科技股年初以来走势接近，并受到美股映射，尤其在经历了一轮调整后，科技风格在四月份重新回归，并有望在五月份延续这一趋势。</w:t>
      </w:r>
    </w:p>
    <w:p>
      <w:r>
        <w:rPr>
          <w:rFonts w:ascii="等线(中文正文)" w:hAnsi="等线(中文正文)" w:cs="等线(中文正文)" w:eastAsia="等线(中文正文)"/>
          <w:b w:val="false"/>
          <w:i w:val="false"/>
          <w:sz w:val="20"/>
        </w:rPr>
        <w:t/>
      </w:r>
    </w:p>
    <w:p>
      <w:pPr>
        <w:pStyle w:val="ab"/>
      </w:pPr>
      <w:r>
        <w:t>发言人1 问：从流动性和风险偏好角度，为何科技风格会回归？</w:t>
      </w:r>
    </w:p>
    <w:p>
      <w:r>
        <w:rPr>
          <w:rFonts w:ascii="等线(中文正文)" w:hAnsi="等线(中文正文)" w:cs="等线(中文正文)" w:eastAsia="等线(中文正文)"/>
          <w:b w:val="false"/>
          <w:i w:val="false"/>
          <w:sz w:val="20"/>
        </w:rPr>
        <w:t>发言人1 答：一方面地缘政治局势缓和减轻了流动性风险；另一方面，关于流动性的担忧随着盈利预期兑现而减弱。同时，中美硬件厂商业绩向好，全球算力需求维持高增长，以及CPU厂商和国产芯片龙头的业绩表现强劲，这些都成为科技板块走强的关键线索。</w:t>
      </w:r>
    </w:p>
    <w:p>
      <w:r>
        <w:rPr>
          <w:rFonts w:ascii="等线(中文正文)" w:hAnsi="等线(中文正文)" w:cs="等线(中文正文)" w:eastAsia="等线(中文正文)"/>
          <w:b w:val="false"/>
          <w:i w:val="false"/>
          <w:sz w:val="20"/>
        </w:rPr>
        <w:t/>
      </w:r>
    </w:p>
    <w:p>
      <w:pPr>
        <w:pStyle w:val="ab"/>
      </w:pPr>
      <w:r>
        <w:t>发言人1 问：未来一个月A股市场更看好什么风格？</w:t>
      </w:r>
    </w:p>
    <w:p>
      <w:r>
        <w:rPr>
          <w:rFonts w:ascii="等线(中文正文)" w:hAnsi="等线(中文正文)" w:cs="等线(中文正文)" w:eastAsia="等线(中文正文)"/>
          <w:b w:val="false"/>
          <w:i w:val="false"/>
          <w:sz w:val="20"/>
        </w:rPr>
        <w:t>发言人1 答：调研结果显示，市场预期在未来一个月将从均衡配置或价值风格转向以成长风格为主导的发展周期。</w:t>
      </w:r>
    </w:p>
    <w:p>
      <w:r>
        <w:rPr>
          <w:rFonts w:ascii="等线(中文正文)" w:hAnsi="等线(中文正文)" w:cs="等线(中文正文)" w:eastAsia="等线(中文正文)"/>
          <w:b w:val="false"/>
          <w:i w:val="false"/>
          <w:sz w:val="20"/>
        </w:rPr>
        <w:t/>
      </w:r>
    </w:p>
    <w:p>
      <w:pPr>
        <w:pStyle w:val="ab"/>
      </w:pPr>
      <w:r>
        <w:t>发言人1 问：一季报中哪些行业的景气度表现最好？</w:t>
      </w:r>
    </w:p>
    <w:p>
      <w:r>
        <w:rPr>
          <w:rFonts w:ascii="等线(中文正文)" w:hAnsi="等线(中文正文)" w:cs="等线(中文正文)" w:eastAsia="等线(中文正文)"/>
          <w:b w:val="false"/>
          <w:i w:val="false"/>
          <w:sz w:val="20"/>
        </w:rPr>
        <w:t>发言人1 答：根据一季报数据，计算机、有色、军工、电子以及电力设备和新能源等行业表现较好，其中科技行业最为亮眼。</w:t>
      </w:r>
    </w:p>
    <w:p>
      <w:r>
        <w:rPr>
          <w:rFonts w:ascii="等线(中文正文)" w:hAnsi="等线(中文正文)" w:cs="等线(中文正文)" w:eastAsia="等线(中文正文)"/>
          <w:b w:val="false"/>
          <w:i w:val="false"/>
          <w:sz w:val="20"/>
        </w:rPr>
        <w:t/>
      </w:r>
    </w:p>
    <w:p>
      <w:pPr>
        <w:pStyle w:val="ab"/>
      </w:pPr>
      <w:r>
        <w:t>发言人1 问：科技板块内部结构中，哪些领域可能率先扩散并成为新的焦点？</w:t>
      </w:r>
    </w:p>
    <w:p>
      <w:r>
        <w:rPr>
          <w:rFonts w:ascii="等线(中文正文)" w:hAnsi="等线(中文正文)" w:cs="等线(中文正文)" w:eastAsia="等线(中文正文)"/>
          <w:b w:val="false"/>
          <w:i w:val="false"/>
          <w:sz w:val="20"/>
        </w:rPr>
        <w:t>发言人1 答：在科技板块内部，光模块领域可能首先扩散，从光开始向存储和AIDC等方向扩展。同时，从业绩增速和涨幅对比来看，上游通信硬件、芯片存储和计算中心AIDC等子领域的增长潜力较大。</w:t>
      </w:r>
    </w:p>
    <w:p>
      <w:r>
        <w:rPr>
          <w:rFonts w:ascii="等线(中文正文)" w:hAnsi="等线(中文正文)" w:cs="等线(中文正文)" w:eastAsia="等线(中文正文)"/>
          <w:b w:val="false"/>
          <w:i w:val="false"/>
          <w:sz w:val="20"/>
        </w:rPr>
        <w:t/>
      </w:r>
    </w:p>
    <w:p>
      <w:pPr>
        <w:pStyle w:val="ab"/>
      </w:pPr>
      <w:r>
        <w:t>发言人1 问：从海外映射的角度，国内算力市场是如何经历变化的？</w:t>
      </w:r>
    </w:p>
    <w:p>
      <w:r>
        <w:rPr>
          <w:rFonts w:ascii="等线(中文正文)" w:hAnsi="等线(中文正文)" w:cs="等线(中文正文)" w:eastAsia="等线(中文正文)"/>
          <w:b w:val="false"/>
          <w:i w:val="false"/>
          <w:sz w:val="20"/>
        </w:rPr>
        <w:t>发言人1 答：国内算力市场经历了从海外算力领涨到国内算力接力的过程，特别是在四月份以来，通信龙头经历了调整后，英特尔MD等半导体产品开始接力上涨。目前国产算力相较于年初有补涨表现，与海外算力的比价仍在高位，预计还有20%至30%的空间。</w:t>
      </w:r>
    </w:p>
    <w:p>
      <w:r>
        <w:rPr>
          <w:rFonts w:ascii="等线(中文正文)" w:hAnsi="等线(中文正文)" w:cs="等线(中文正文)" w:eastAsia="等线(中文正文)"/>
          <w:b w:val="false"/>
          <w:i w:val="false"/>
          <w:sz w:val="20"/>
        </w:rPr>
        <w:t/>
      </w:r>
    </w:p>
    <w:p>
      <w:pPr>
        <w:pStyle w:val="ab"/>
      </w:pPr>
      <w:r>
        <w:t>发言人1 问：目前AI行情扩散的主要方向有哪些？</w:t>
      </w:r>
    </w:p>
    <w:p>
      <w:r>
        <w:rPr>
          <w:rFonts w:ascii="等线(中文正文)" w:hAnsi="等线(中文正文)" w:cs="等线(中文正文)" w:eastAsia="等线(中文正文)"/>
          <w:b w:val="false"/>
          <w:i w:val="false"/>
          <w:sz w:val="20"/>
        </w:rPr>
        <w:t>发言人1 答：AI行情扩散的主要方向包括国产存储半导体、AIGC技术、AI端侧应用、中游软件以及多模态应用（如游戏、计算机、多媒体、数字营销等）。这些领域将按照国产-数据中心IDC-中下游端子应用的顺序传导扩散。</w:t>
      </w:r>
    </w:p>
    <w:p>
      <w:r>
        <w:rPr>
          <w:rFonts w:ascii="等线(中文正文)" w:hAnsi="等线(中文正文)" w:cs="等线(中文正文)" w:eastAsia="等线(中文正文)"/>
          <w:b w:val="false"/>
          <w:i w:val="false"/>
          <w:sz w:val="20"/>
        </w:rPr>
        <w:t/>
      </w:r>
    </w:p>
    <w:p>
      <w:pPr>
        <w:pStyle w:val="ab"/>
      </w:pPr>
      <w:r>
        <w:t>发言人1 问：对于A股投资主线，有何建议？</w:t>
      </w:r>
    </w:p>
    <w:p>
      <w:r>
        <w:rPr>
          <w:rFonts w:ascii="等线(中文正文)" w:hAnsi="等线(中文正文)" w:cs="等线(中文正文)" w:eastAsia="等线(中文正文)"/>
          <w:b w:val="false"/>
          <w:i w:val="false"/>
          <w:sz w:val="20"/>
        </w:rPr>
        <w:t>发言人1 答：强烈建议关注美股相关主题投资方向，因为A股市场正进行跟随，今年有一条重要的投资主线是关注美股主题在国内的映射情况。</w:t>
      </w:r>
    </w:p>
    <w:p>
      <w:r>
        <w:rPr>
          <w:rFonts w:ascii="等线(中文正文)" w:hAnsi="等线(中文正文)" w:cs="等线(中文正文)" w:eastAsia="等线(中文正文)"/>
          <w:b w:val="false"/>
          <w:i w:val="false"/>
          <w:sz w:val="20"/>
        </w:rPr>
        <w:t/>
      </w:r>
    </w:p>
    <w:p>
      <w:pPr>
        <w:pStyle w:val="ab"/>
      </w:pPr>
      <w:r>
        <w:t>发言人1 问：计算机板块的投资机会如何？</w:t>
      </w:r>
    </w:p>
    <w:p>
      <w:r>
        <w:rPr>
          <w:rFonts w:ascii="等线(中文正文)" w:hAnsi="等线(中文正文)" w:cs="等线(中文正文)" w:eastAsia="等线(中文正文)"/>
          <w:b w:val="false"/>
          <w:i w:val="false"/>
          <w:sz w:val="20"/>
        </w:rPr>
        <w:t>发言人1 答：计算机板块一季报增速亮眼，但涨幅相对偏弱，具有一定的补涨空间，特别是在办公软件、云服务、网络安全等领域，这些板块可能成为后续科技行情扩散的重要方向。</w:t>
      </w:r>
    </w:p>
    <w:p>
      <w:r>
        <w:rPr>
          <w:rFonts w:ascii="等线(中文正文)" w:hAnsi="等线(中文正文)" w:cs="等线(中文正文)" w:eastAsia="等线(中文正文)"/>
          <w:b w:val="false"/>
          <w:i w:val="false"/>
          <w:sz w:val="20"/>
        </w:rPr>
        <w:t/>
      </w:r>
    </w:p>
    <w:p>
      <w:pPr>
        <w:pStyle w:val="ab"/>
      </w:pPr>
      <w:r>
        <w:t>发言人1 问：如何看待AI领域的成交占比数据？</w:t>
      </w:r>
    </w:p>
    <w:p>
      <w:r>
        <w:rPr>
          <w:rFonts w:ascii="等线(中文正文)" w:hAnsi="等线(中文正文)" w:cs="等线(中文正文)" w:eastAsia="等线(中文正文)"/>
          <w:b w:val="false"/>
          <w:i w:val="false"/>
          <w:sz w:val="20"/>
        </w:rPr>
        <w:t>发言人1 答：成交占比数据需辨别性运用，当前TMT行业的成交占比接近50%，并不算夸张，因为它反映了行业结构和市值变化，相比单纯对比成交占比更有意义的是考虑行业市值定位及其历史变化。</w:t>
      </w:r>
    </w:p>
    <w:p>
      <w:r>
        <w:rPr>
          <w:rFonts w:ascii="等线(中文正文)" w:hAnsi="等线(中文正文)" w:cs="等线(中文正文)" w:eastAsia="等线(中文正文)"/>
          <w:b w:val="false"/>
          <w:i w:val="false"/>
          <w:sz w:val="20"/>
        </w:rPr>
        <w:t/>
      </w:r>
    </w:p>
    <w:p>
      <w:pPr>
        <w:pStyle w:val="ab"/>
      </w:pPr>
      <w:r>
        <w:t>发言人1 问：对于AI泡沫破灭的担忧，有何复盘和见解？</w:t>
      </w:r>
    </w:p>
    <w:p>
      <w:r>
        <w:rPr>
          <w:rFonts w:ascii="等线(中文正文)" w:hAnsi="等线(中文正文)" w:cs="等线(中文正文)" w:eastAsia="等线(中文正文)"/>
          <w:b w:val="false"/>
          <w:i w:val="false"/>
          <w:sz w:val="20"/>
        </w:rPr>
        <w:t>发言人1 答：当年纳斯达克泡沫破灭并非直接因加息导致，而是在业绩暴雷后崩塌。对于AI行业，最重要的是关注EPS（盈利）能否兑现，而非估值或流动性。目前尚未到业绩发现不足预期的程度，因此中长期展望仍乐观。</w:t>
      </w:r>
    </w:p>
    <w:p>
      <w:r>
        <w:rPr>
          <w:rFonts w:ascii="等线(中文正文)" w:hAnsi="等线(中文正文)" w:cs="等线(中文正文)" w:eastAsia="等线(中文正文)"/>
          <w:b w:val="false"/>
          <w:i w:val="false"/>
          <w:sz w:val="20"/>
        </w:rPr>
        <w:t/>
      </w:r>
    </w:p>
    <w:p>
      <w:pPr>
        <w:pStyle w:val="ab"/>
      </w:pPr>
      <w:r>
        <w:t>发言人1 问：出口出海链在当前经济形势中的表现如何？</w:t>
      </w:r>
    </w:p>
    <w:p>
      <w:r>
        <w:rPr>
          <w:rFonts w:ascii="等线(中文正文)" w:hAnsi="等线(中文正文)" w:cs="等线(中文正文)" w:eastAsia="等线(中文正文)"/>
          <w:b w:val="false"/>
          <w:i w:val="false"/>
          <w:sz w:val="20"/>
        </w:rPr>
        <w:t>发言人1 答：在全球PMI普遍下滑的背景下，我国高技术制造业PMI回升且遥遥领先，使得出海链成为经济的一大亮点，特别是新能源及其各个环节，以及机械设备等行业，在未来投资中值得关注。</w:t>
      </w:r>
    </w:p>
    <w:p>
      <w:r>
        <w:rPr>
          <w:rFonts w:ascii="等线(中文正文)" w:hAnsi="等线(中文正文)" w:cs="等线(中文正文)" w:eastAsia="等线(中文正文)"/>
          <w:b w:val="false"/>
          <w:i w:val="false"/>
          <w:sz w:val="20"/>
        </w:rPr>
        <w:t/>
      </w:r>
    </w:p>
    <w:p>
      <w:pPr>
        <w:pStyle w:val="ab"/>
      </w:pPr>
      <w:r>
        <w:t>发言人1 问：在地缘动荡下，为什么制造业强国会受益，中国的制造业是否会受到影响并实现份额扩张？</w:t>
      </w:r>
    </w:p>
    <w:p>
      <w:r>
        <w:rPr>
          <w:rFonts w:ascii="等线(中文正文)" w:hAnsi="等线(中文正文)" w:cs="等线(中文正文)" w:eastAsia="等线(中文正文)"/>
          <w:b w:val="false"/>
          <w:i w:val="false"/>
          <w:sz w:val="20"/>
        </w:rPr>
        <w:t>发言人1 答：在全球性金融危机或冲突中，制造业强国通常受益，因为他们拥有稳定的产业链和能源自主能力。以疫情为例，中国的出口在初期有脉冲式增长，是因为产能率先释放，但随后由于产业链稳定性及能源自主性优势，出口持续走强。回顾日本在七八十年代经历石油危机后的情况，其通过发展清洁能源和低能耗产业，在危机后实现了制造业扩张，并在国际竞争中崭露头角。因此，在当前地缘动荡背景下，我们同样看好中国制造业份额的提升和顺价能力。</w:t>
      </w:r>
    </w:p>
    <w:p>
      <w:r>
        <w:rPr>
          <w:rFonts w:ascii="等线(中文正文)" w:hAnsi="等线(中文正文)" w:cs="等线(中文正文)" w:eastAsia="等线(中文正文)"/>
          <w:b w:val="false"/>
          <w:i w:val="false"/>
          <w:sz w:val="20"/>
        </w:rPr>
        <w:t/>
      </w:r>
    </w:p>
    <w:p>
      <w:pPr>
        <w:pStyle w:val="ab"/>
      </w:pPr>
      <w:r>
        <w:t>发言人1 问：当前油价上涨是否会影响中国制造业的成本端，并导致毛利率受损？</w:t>
      </w:r>
    </w:p>
    <w:p>
      <w:r>
        <w:rPr>
          <w:rFonts w:ascii="等线(中文正文)" w:hAnsi="等线(中文正文)" w:cs="等线(中文正文)" w:eastAsia="等线(中文正文)"/>
          <w:b w:val="false"/>
          <w:i w:val="false"/>
          <w:sz w:val="20"/>
        </w:rPr>
        <w:t>发言人1 答：目前中国制造业出口链条中，与油价直接相关的低端出口项比例已经下降。过去几年的实践证明，中国制造业具备较强的出口端顺价能力，即使面临成本端价格上涨（如油价上涨），出口份额仍能保持稳定，甚至有所提升。此外，高端出口行业的终端价格上涨幅度显著高于成本端价格上涨，这也验证了中国制造业的盈利能力。</w:t>
      </w:r>
    </w:p>
    <w:p>
      <w:r>
        <w:rPr>
          <w:rFonts w:ascii="等线(中文正文)" w:hAnsi="等线(中文正文)" w:cs="等线(中文正文)" w:eastAsia="等线(中文正文)"/>
          <w:b w:val="false"/>
          <w:i w:val="false"/>
          <w:sz w:val="20"/>
        </w:rPr>
        <w:t/>
      </w:r>
    </w:p>
    <w:p>
      <w:pPr>
        <w:pStyle w:val="ab"/>
      </w:pPr>
      <w:r>
        <w:t>发言人1 问：中国经济的主要驱动力是什么？</w:t>
      </w:r>
    </w:p>
    <w:p>
      <w:r>
        <w:rPr>
          <w:rFonts w:ascii="等线(中文正文)" w:hAnsi="等线(中文正文)" w:cs="等线(中文正文)" w:eastAsia="等线(中文正文)"/>
          <w:b w:val="false"/>
          <w:i w:val="false"/>
          <w:sz w:val="20"/>
        </w:rPr>
        <w:t>发言人1 答：目前，中国经济的主要驱动力已经从传统地产、基建、消费等行业转向高端制造、TMT（科技、媒体和通信）以及出口等领域。其中，中游制造业占比已经超过40%，而在所有细分行业中，TMT和电气机械等高端制造业占比显著增加，这些新兴产业已成为中国经济的新中流砥柱。</w:t>
      </w:r>
    </w:p>
    <w:p>
      <w:r>
        <w:rPr>
          <w:rFonts w:ascii="等线(中文正文)" w:hAnsi="等线(中文正文)" w:cs="等线(中文正文)" w:eastAsia="等线(中文正文)"/>
          <w:b w:val="false"/>
          <w:i w:val="false"/>
          <w:sz w:val="20"/>
        </w:rPr>
        <w:t/>
      </w:r>
    </w:p>
    <w:p>
      <w:pPr>
        <w:pStyle w:val="ab"/>
      </w:pPr>
      <w:r>
        <w:t>发言人1 问：宏观经济压力下，为何企业盈利一直在改善？</w:t>
      </w:r>
    </w:p>
    <w:p>
      <w:r>
        <w:rPr>
          <w:rFonts w:ascii="等线(中文正文)" w:hAnsi="等线(中文正文)" w:cs="等线(中文正文)" w:eastAsia="等线(中文正文)"/>
          <w:b w:val="false"/>
          <w:i w:val="false"/>
          <w:sz w:val="20"/>
        </w:rPr>
        <w:t>发言人1 答：虽然宏观经济上关注的焦点如地产、基建、消费等行业的盈利占比有所下降，但企业的整体盈利却在逐渐修复并持续改善。这主要是因为经济驱动力正在发生变化，从前聚焦的传统行业逐渐转变为以高端制造、AI和出口为代表的新兴产业。这些高端制造业不仅拉动收入增长，还通过改善整体经济状况间接影响到消费和房价等其他领域，从而形成了一个坚实且持久的经济增长链条。</w:t>
      </w:r>
    </w:p>
    <w:p>
      <w:r>
        <w:rPr>
          <w:rFonts w:ascii="等线(中文正文)" w:hAnsi="等线(中文正文)" w:cs="等线(中文正文)" w:eastAsia="等线(中文正文)"/>
          <w:b w:val="false"/>
          <w:i w:val="false"/>
          <w:sz w:val="20"/>
        </w:rPr>
        <w:t/>
      </w:r>
    </w:p>
    <w:p>
      <w:pPr>
        <w:pStyle w:val="ab"/>
      </w:pPr>
      <w:r>
        <w:t>发言人1 问：在当前经济环境下，你认为科技板块是否有可能带动整体经济增长到4500点，并且需要哪些行业配合？</w:t>
      </w:r>
    </w:p>
    <w:p>
      <w:r>
        <w:rPr>
          <w:rFonts w:ascii="等线(中文正文)" w:hAnsi="等线(中文正文)" w:cs="等线(中文正文)" w:eastAsia="等线(中文正文)"/>
          <w:b w:val="false"/>
          <w:i w:val="false"/>
          <w:sz w:val="20"/>
        </w:rPr>
        <w:t>发言人1 答：我认为要达到4500点的目标，在结构上可能需要地产、消费金融等板块的推动，单纯依靠科技行业较难实现。尽管我看好科技板块，但目前其在这一轮上涨中的表现不如以往作为牛市骑手的角色有力。</w:t>
      </w:r>
    </w:p>
    <w:p>
      <w:r>
        <w:rPr>
          <w:rFonts w:ascii="等线(中文正文)" w:hAnsi="等线(中文正文)" w:cs="等线(中文正文)" w:eastAsia="等线(中文正文)"/>
          <w:b w:val="false"/>
          <w:i w:val="false"/>
          <w:sz w:val="20"/>
        </w:rPr>
        <w:t/>
      </w:r>
    </w:p>
    <w:p>
      <w:pPr>
        <w:pStyle w:val="ab"/>
      </w:pPr>
      <w:r>
        <w:t>发言人1 问：你对券商行业的看法如何？在当前环境下，券商是否有机会表现？</w:t>
      </w:r>
    </w:p>
    <w:p>
      <w:r>
        <w:rPr>
          <w:rFonts w:ascii="等线(中文正文)" w:hAnsi="等线(中文正文)" w:cs="等线(中文正文)" w:eastAsia="等线(中文正文)"/>
          <w:b w:val="false"/>
          <w:i w:val="false"/>
          <w:sz w:val="20"/>
        </w:rPr>
        <w:t>发言人1 答：我对券商行业持有机会的看法。从薪酬回升、行业竞争改善等方面看，券商板块已有好转迹象。同时，证金公司减持的影响减弱，也使得券商板块承压减少。另外，由于对整体经济持乐观态度，对利率和投资收益也较为积极，因此，现在是配置券商的一个合适时机，尽管等待集中上涨可能较为熬人。</w:t>
      </w:r>
    </w:p>
    <w:p>
      <w:r>
        <w:rPr>
          <w:rFonts w:ascii="等线(中文正文)" w:hAnsi="等线(中文正文)" w:cs="等线(中文正文)" w:eastAsia="等线(中文正文)"/>
          <w:b w:val="false"/>
          <w:i w:val="false"/>
          <w:sz w:val="20"/>
        </w:rPr>
        <w:t/>
      </w:r>
    </w:p>
    <w:p>
      <w:pPr>
        <w:pStyle w:val="ab"/>
      </w:pPr>
      <w:r>
        <w:t>发言人1 问：对于科技和保险板块在当前行情中的表现及未来预期有何看法？</w:t>
      </w:r>
    </w:p>
    <w:p>
      <w:r>
        <w:rPr>
          <w:rFonts w:ascii="等线(中文正文)" w:hAnsi="等线(中文正文)" w:cs="等线(中文正文)" w:eastAsia="等线(中文正文)"/>
          <w:b w:val="false"/>
          <w:i w:val="false"/>
          <w:sz w:val="20"/>
        </w:rPr>
        <w:t>发言人1 答：目前市场对于科技板块实现高弹性增长抱有一定怀疑态度，尤其是将西部科技部长的角色归于信用保险领域，认为难度较大。指数上涨和顺周期资产修复需要更多人认为经济整体修复成为共识，而现在盈利改善已逐渐显现，但宏观经济修复仍存疑虑。</w:t>
      </w:r>
    </w:p>
    <w:p>
      <w:r>
        <w:rPr>
          <w:rFonts w:ascii="等线(中文正文)" w:hAnsi="等线(中文正文)" w:cs="等线(中文正文)" w:eastAsia="等线(中文正文)"/>
          <w:b w:val="false"/>
          <w:i w:val="false"/>
          <w:sz w:val="20"/>
        </w:rPr>
        <w:t/>
      </w:r>
    </w:p>
    <w:p>
      <w:pPr>
        <w:pStyle w:val="ab"/>
      </w:pPr>
      <w:r>
        <w:t>发言人1 问：您如何看待金融保险板块的行情以及中美关系对市场的影响？</w:t>
      </w:r>
    </w:p>
    <w:p>
      <w:r>
        <w:rPr>
          <w:rFonts w:ascii="等线(中文正文)" w:hAnsi="等线(中文正文)" w:cs="等线(中文正文)" w:eastAsia="等线(中文正文)"/>
          <w:b w:val="false"/>
          <w:i w:val="false"/>
          <w:sz w:val="20"/>
        </w:rPr>
        <w:t>发言人1 答：二季度金融保险板块表现不佳，全国保险至今都在下跌，但一些公司的盈利状况良好。中美关系方面，特朗普政府今年对华态度相对平稳，且双方都有保持积极正面互动的意图。整体来看，今年市场环境还是不错的，下半年可能不会像之前担忧的那样出现大规模动荡，机会可能仍会在上半年集中释放。</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2026-05-10T03:11:13Z</dcterms:created>
  <dc:creator>Apache POI</dc:creator>
</cp:coreProperties>
</file>