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安琪酵母 260507_导读</w:t>
      </w:r>
    </w:p>
    <w:p>
      <w:pPr>
        <w:pStyle w:val="a0"/>
        <w:jc w:val="center"/>
      </w:pPr>
      <w:r>
        <w:t>2026年05月08日 07:36</w:t>
      </w:r>
    </w:p>
    <w:p>
      <w:pPr>
        <w:pStyle w:val="a7"/>
      </w:pPr>
      <w:r>
        <w:t>关键词</w:t>
      </w:r>
    </w:p>
    <w:p>
      <w:r>
        <w:rPr>
          <w:rFonts w:ascii="等线(中文正文)" w:hAnsi="等线(中文正文)" w:cs="等线(中文正文)" w:eastAsia="等线(中文正文)"/>
          <w:b w:val="false"/>
          <w:i w:val="false"/>
          <w:sz w:val="20"/>
        </w:rPr>
        <w:t xml:space="preserve">酵母提取物 食品原料 毛利率 净利率 产能 海运费用 汇率 糖蜜 可交换债券 埃及工厂 印尼工厂 调味品 YE 酵母蛋白 控股股东 大股东 减持 增持 融资 换股价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今年对酵母提取物及其衍生产品展现出乐观的增长预期，得益于国内消费的整体复苏。讨论着重于食品原料的B端和C端市场比例以及毛利率和净利率的调整，强调公司将根据市场需求和成本控制来优化这些指标。为了实现全球产能目标，公司计划通过自建和并购等方式新增产能，并预计这将有助于提升利润率。对话亦涉及海运费上涨和油价波动对公司成本的影响，以及政府补贴的稳定性。对于新业务，如酵母蛋白的发展，公司持乐观态度，认为其有巨大的市场潜力，尤其是在替代乳清蛋白方面，并预计会有出口市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食品原料行业增长与盈利潜力分析</w:t>
      </w:r>
    </w:p>
    <w:p>
      <w:r>
        <w:rPr>
          <w:rFonts w:ascii="等线(中文正文)" w:hAnsi="等线(中文正文)" w:cs="等线(中文正文)" w:eastAsia="等线(中文正文)"/>
          <w:b w:val="false"/>
          <w:i w:val="false"/>
          <w:sz w:val="20"/>
        </w:rPr>
        <w:t>讨论了国内食品原料行业，尤其是酵母提取物及其衍生品的增长趋势，指出今年可能实现5%以上的增长，而酵母提取物有望达到10%。食品原料的增长归因于市场应用、产品质量、成本优化及技术创新。尽管当前毛利率较低，但随着规模扩大，预期利润率将显著提升，对标国际竞争对手如银联玛丽，未来利润率有望超越酵母主业。</w:t>
      </w:r>
    </w:p>
    <w:p>
      <w:r>
        <w:rPr>
          <w:rFonts w:ascii="等线(中文正文)" w:hAnsi="等线(中文正文)" w:cs="等线(中文正文)" w:eastAsia="等线(中文正文)"/>
          <w:b w:val="false"/>
          <w:i w:val="false"/>
          <w:sz w:val="20"/>
        </w:rPr>
        <w:t/>
      </w:r>
    </w:p>
    <w:p>
      <w:pPr>
        <w:pStyle w:val="ab"/>
        <w:numPr>
          <w:numId w:val="2"/>
        </w:numPr>
      </w:pPr>
      <w:r>
        <w:t>04:01 中东战争影响与公司应对策略分析</w:t>
      </w:r>
    </w:p>
    <w:p>
      <w:r>
        <w:rPr>
          <w:rFonts w:ascii="等线(中文正文)" w:hAnsi="等线(中文正文)" w:cs="等线(中文正文)" w:eastAsia="等线(中文正文)"/>
          <w:b w:val="false"/>
          <w:i w:val="false"/>
          <w:sz w:val="20"/>
        </w:rPr>
        <w:t>讨论了中东战争导致的海运费用上涨50%-100%及保险费用增加对利润的影响，指出埃及和俄罗斯工厂有助于减轻成本压力。分析了油价上涨对糖蜜成本的潜在影响，强调国内产能优势缓解了部分压力。一季度汇率波动造成7000万损失，未来不确定性仍需关注。投资者可通过网络或电话端提问。</w:t>
      </w:r>
    </w:p>
    <w:p>
      <w:r>
        <w:rPr>
          <w:rFonts w:ascii="等线(中文正文)" w:hAnsi="等线(中文正文)" w:cs="等线(中文正文)" w:eastAsia="等线(中文正文)"/>
          <w:b w:val="false"/>
          <w:i w:val="false"/>
          <w:sz w:val="20"/>
        </w:rPr>
        <w:t/>
      </w:r>
    </w:p>
    <w:p>
      <w:pPr>
        <w:pStyle w:val="ab"/>
        <w:numPr>
          <w:numId w:val="3"/>
        </w:numPr>
      </w:pPr>
      <w:r>
        <w:t>09:25 海运费与原料成本对毛利率的影响及行业定价策略</w:t>
      </w:r>
    </w:p>
    <w:p>
      <w:r>
        <w:rPr>
          <w:rFonts w:ascii="等线(中文正文)" w:hAnsi="等线(中文正文)" w:cs="等线(中文正文)" w:eastAsia="等线(中文正文)"/>
          <w:b w:val="false"/>
          <w:i w:val="false"/>
          <w:sz w:val="20"/>
        </w:rPr>
        <w:t>讨论了海运费影响体现在毛利率中，国内行业尤其是竞争对手销售均价下降情况，以及灵活定价策略应对原料成本变化，强调价格调整幅度低于原料成本下降幅度，增厚利润而非完全让利于下游。</w:t>
      </w:r>
    </w:p>
    <w:p>
      <w:r>
        <w:rPr>
          <w:rFonts w:ascii="等线(中文正文)" w:hAnsi="等线(中文正文)" w:cs="等线(中文正文)" w:eastAsia="等线(中文正文)"/>
          <w:b w:val="false"/>
          <w:i w:val="false"/>
          <w:sz w:val="20"/>
        </w:rPr>
        <w:t/>
      </w:r>
    </w:p>
    <w:p>
      <w:pPr>
        <w:pStyle w:val="ab"/>
        <w:numPr>
          <w:numId w:val="4"/>
        </w:numPr>
      </w:pPr>
      <w:r>
        <w:t>12:23 酵母产能规划与市场复苏分析</w:t>
      </w:r>
    </w:p>
    <w:p>
      <w:r>
        <w:rPr>
          <w:rFonts w:ascii="等线(中文正文)" w:hAnsi="等线(中文正文)" w:cs="等线(中文正文)" w:eastAsia="等线(中文正文)"/>
          <w:b w:val="false"/>
          <w:i w:val="false"/>
          <w:sz w:val="20"/>
        </w:rPr>
        <w:t>对话围绕酵母公司产能规划展开，详细介绍了未来五年每年新增产能目标，包括印尼和俄罗斯工厂建设进展，以及通过自建和并购达到60万吨目标的策略。同时，讨论了调味品市场复苏情况，指出国内YE需求有所增长，但增速平稳，主要增长动力来自海外市场。</w:t>
      </w:r>
    </w:p>
    <w:p>
      <w:r>
        <w:rPr>
          <w:rFonts w:ascii="等线(中文正文)" w:hAnsi="等线(中文正文)" w:cs="等线(中文正文)" w:eastAsia="等线(中文正文)"/>
          <w:b w:val="false"/>
          <w:i w:val="false"/>
          <w:sz w:val="20"/>
        </w:rPr>
        <w:t/>
      </w:r>
    </w:p>
    <w:p>
      <w:pPr>
        <w:pStyle w:val="ab"/>
        <w:numPr>
          <w:numId w:val="5"/>
        </w:numPr>
      </w:pPr>
      <w:r>
        <w:t>16:20 海外扩张与内部重组：公司全球市场战略解析</w:t>
      </w:r>
    </w:p>
    <w:p>
      <w:r>
        <w:rPr>
          <w:rFonts w:ascii="等线(中文正文)" w:hAnsi="等线(中文正文)" w:cs="等线(中文正文)" w:eastAsia="等线(中文正文)"/>
          <w:b w:val="false"/>
          <w:i w:val="false"/>
          <w:sz w:val="20"/>
        </w:rPr>
        <w:t>讨论了公司在海外市场的布局规划，特别是中东、非洲和东南亚地区，以及对空白市场的长期策略。提及疫情后全球销售本地化及国内事业部合并为三大板块的调整。控股股东发行可交换债券的目的在于调整持股比例，保持控股权。集团主营生物科技和茶叶业务，与股份公司协同度有限，分工明确。</w:t>
      </w:r>
    </w:p>
    <w:p>
      <w:r>
        <w:rPr>
          <w:rFonts w:ascii="等线(中文正文)" w:hAnsi="等线(中文正文)" w:cs="等线(中文正文)" w:eastAsia="等线(中文正文)"/>
          <w:b w:val="false"/>
          <w:i w:val="false"/>
          <w:sz w:val="20"/>
        </w:rPr>
        <w:t/>
      </w:r>
    </w:p>
    <w:p>
      <w:pPr>
        <w:pStyle w:val="ab"/>
        <w:numPr>
          <w:numId w:val="6"/>
        </w:numPr>
      </w:pPr>
      <w:r>
        <w:t>21:51 公司分红计划与海外发展策略讨论</w:t>
      </w:r>
    </w:p>
    <w:p>
      <w:r>
        <w:rPr>
          <w:rFonts w:ascii="等线(中文正文)" w:hAnsi="等线(中文正文)" w:cs="等线(中文正文)" w:eastAsia="等线(中文正文)"/>
          <w:b w:val="false"/>
          <w:i w:val="false"/>
          <w:sz w:val="20"/>
        </w:rPr>
        <w:t>对话围绕公司分红比例提升计划展开，指出随着海外发展空间及产能投资需求，分红将阶段性调整，预计利润增长时提高分红率。同时提及公司未计划港股上市，因国企性质及审核限制，折扣率低不具可行性。</w:t>
      </w:r>
    </w:p>
    <w:p>
      <w:r>
        <w:rPr>
          <w:rFonts w:ascii="等线(中文正文)" w:hAnsi="等线(中文正文)" w:cs="等线(中文正文)" w:eastAsia="等线(中文正文)"/>
          <w:b w:val="false"/>
          <w:i w:val="false"/>
          <w:sz w:val="20"/>
        </w:rPr>
        <w:t/>
      </w:r>
    </w:p>
    <w:p>
      <w:pPr>
        <w:pStyle w:val="ab"/>
        <w:numPr>
          <w:numId w:val="7"/>
        </w:numPr>
      </w:pPr>
      <w:r>
        <w:t>24:34 利润与原料成本波动下的公司规划</w:t>
      </w:r>
    </w:p>
    <w:p>
      <w:r>
        <w:rPr>
          <w:rFonts w:ascii="等线(中文正文)" w:hAnsi="等线(中文正文)" w:cs="等线(中文正文)" w:eastAsia="等线(中文正文)"/>
          <w:b w:val="false"/>
          <w:i w:val="false"/>
          <w:sz w:val="20"/>
        </w:rPr>
        <w:t>讨论了利润增速快于收入增速的周期内，公司对净利率提升的规划受限于原料成本波动，强调了避免利润大幅波动的目标。提及今年水解糖使用比例低，成本有所回落，但未降至历史低点。解释了信用减值损失的原因，归咎于前期应收账款余额大，遵循谨慎性原则。同时，提到了非洲国家外汇储备不足影响进口，公司采取以货易货策略应对。</w:t>
      </w:r>
    </w:p>
    <w:p>
      <w:r>
        <w:rPr>
          <w:rFonts w:ascii="等线(中文正文)" w:hAnsi="等线(中文正文)" w:cs="等线(中文正文)" w:eastAsia="等线(中文正文)"/>
          <w:b w:val="false"/>
          <w:i w:val="false"/>
          <w:sz w:val="20"/>
        </w:rPr>
        <w:t/>
      </w:r>
    </w:p>
    <w:p>
      <w:pPr>
        <w:pStyle w:val="ab"/>
        <w:numPr>
          <w:numId w:val="8"/>
        </w:numPr>
      </w:pPr>
      <w:r>
        <w:t>28:27 政府补贴稳定性与外汇影响探讨</w:t>
      </w:r>
    </w:p>
    <w:p>
      <w:r>
        <w:rPr>
          <w:rFonts w:ascii="等线(中文正文)" w:hAnsi="等线(中文正文)" w:cs="等线(中文正文)" w:eastAsia="等线(中文正文)"/>
          <w:b w:val="false"/>
          <w:i w:val="false"/>
          <w:sz w:val="20"/>
        </w:rPr>
        <w:t>对话围绕政府补贴的稳定性展开，提及埃及退税补贴及外汇影响。讨论了补贴预期的不确定性，以及财政状况对补贴发放的影响，强调催收与正常经营的区别。</w:t>
      </w:r>
    </w:p>
    <w:p>
      <w:r>
        <w:rPr>
          <w:rFonts w:ascii="等线(中文正文)" w:hAnsi="等线(中文正文)" w:cs="等线(中文正文)" w:eastAsia="等线(中文正文)"/>
          <w:b w:val="false"/>
          <w:i w:val="false"/>
          <w:sz w:val="20"/>
        </w:rPr>
        <w:t/>
      </w:r>
    </w:p>
    <w:p>
      <w:pPr>
        <w:pStyle w:val="ab"/>
        <w:numPr>
          <w:numId w:val="9"/>
        </w:numPr>
      </w:pPr>
      <w:r>
        <w:t>29:54 酵母蛋白与乳清蛋白替代市场及应用案例</w:t>
      </w:r>
    </w:p>
    <w:p>
      <w:r>
        <w:rPr>
          <w:rFonts w:ascii="等线(中文正文)" w:hAnsi="等线(中文正文)" w:cs="等线(中文正文)" w:eastAsia="等线(中文正文)"/>
          <w:b w:val="false"/>
          <w:i w:val="false"/>
          <w:sz w:val="20"/>
        </w:rPr>
        <w:t>讨论了酵母蛋白作为乳清蛋白替代品的市场潜力，强调其成本优势及与乳清蛋白相当的营养价值。提及了海天酱油作为酵母蛋白应用案例，讨论了风味差异对食品配方的影响。同时，探讨了高端应用市场的新需求趋势及酵母产品在不同面食领域的通用性。</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首先回顾了公司近年来业务发展情况，指出尽管过去几年产品增长不稳定，但预计今年增长率将超过5%。特别强调了酵母提取物及下游衍生品的巨大市场潜力，预示着显著增长。他深入分析了国内消费持续增长以及食品原料市场需求变化，特别关注了B端与C端市场的比例及趋势。同时，也提到了产能和毛利率的问题，以及海运费用上涨对利润的影响，中东战争带来的海运和保险费用增加等外部因素。
在回答投资者提问时，他详细讨论了公司新增产能规划、海外市场拓展、政府补贴、新业务发展等方面，透露了公司对分红比例未来调整的考虑。最后，他概述了公司的业务发展方向和未来市场机遇，展现了对未来发展充满信心的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问：酵母提取物今年的增速情况如何？</w:t>
      </w:r>
    </w:p>
    <w:p>
      <w:r>
        <w:rPr>
          <w:rFonts w:ascii="等线(中文正文)" w:hAnsi="等线(中文正文)" w:cs="等线(中文正文)" w:eastAsia="等线(中文正文)"/>
          <w:b w:val="false"/>
          <w:i w:val="false"/>
          <w:sz w:val="20"/>
        </w:rPr>
        <w:t>发言人1 答：今年酵母提取物的增长预计能够达到5%，甚至更高，比如酵母蛋白的增长就超过100%，这主要是由于整体国内消费的增加。单独看二季度可能受到基数影响，但总体来说，今年国内情况比去年要好一些。</w:t>
      </w:r>
    </w:p>
    <w:p>
      <w:r>
        <w:rPr>
          <w:rFonts w:ascii="等线(中文正文)" w:hAnsi="等线(中文正文)" w:cs="等线(中文正文)" w:eastAsia="等线(中文正文)"/>
          <w:b w:val="false"/>
          <w:i w:val="false"/>
          <w:sz w:val="20"/>
        </w:rPr>
        <w:t/>
      </w:r>
    </w:p>
    <w:p>
      <w:pPr>
        <w:pStyle w:val="ab"/>
      </w:pPr>
      <w:r>
        <w:t>发言人1 问：食品原料B端和C端的比例是否有统计过？其快速增长的原因是否与产能新增有关？食品原料的毛利率和净利率应如何预期？</w:t>
      </w:r>
    </w:p>
    <w:p>
      <w:r>
        <w:rPr>
          <w:rFonts w:ascii="等线(中文正文)" w:hAnsi="等线(中文正文)" w:cs="等线(中文正文)" w:eastAsia="等线(中文正文)"/>
          <w:b w:val="false"/>
          <w:i w:val="false"/>
          <w:sz w:val="20"/>
        </w:rPr>
        <w:t>发言人1 答：食品原料大部分为B端供应，且其快速增长与新增产能有一定关系。关于毛利率和净利率预期，公司在做任何产品时首先关注市场需求和产品质量，力求超过行业平均水平，并通过优化成本、规模、技术和研发投入等方式进一步提升。目前食品原料的毛利率大约在10%左右，如果规模翻倍，利润率也会有所提高，甚至可能超过酵母主业。</w:t>
      </w:r>
    </w:p>
    <w:p>
      <w:r>
        <w:rPr>
          <w:rFonts w:ascii="等线(中文正文)" w:hAnsi="等线(中文正文)" w:cs="等线(中文正文)" w:eastAsia="等线(中文正文)"/>
          <w:b w:val="false"/>
          <w:i w:val="false"/>
          <w:sz w:val="20"/>
        </w:rPr>
        <w:t/>
      </w:r>
    </w:p>
    <w:p>
      <w:pPr>
        <w:pStyle w:val="ab"/>
      </w:pPr>
      <w:r>
        <w:t>发言人1 问：中东战争对一季度海运费用及利润影响的具体程度是什么？二季度是否还有较大影响？汇率波动对公司利润的具体影响如何？</w:t>
      </w:r>
    </w:p>
    <w:p>
      <w:r>
        <w:rPr>
          <w:rFonts w:ascii="等线(中文正文)" w:hAnsi="等线(中文正文)" w:cs="等线(中文正文)" w:eastAsia="等线(中文正文)"/>
          <w:b w:val="false"/>
          <w:i w:val="false"/>
          <w:sz w:val="20"/>
        </w:rPr>
        <w:t>发言人1 答：一季度海运费用上升了50%至100%，保险费用大幅增加，且战争风险导致部分保险公司不愿承保。战争持续将使得海运费用影响持续存在，但随着事件的发展，若霍尔摩斯海峡恢复正常通航，费用影响可能会消除。汇率波动对公司利润有较大影响，例如今年一季度产生了7000万的损失。尽管汇率升值幅度较大，但后续不确定因素仍有可能造成更多损失，因此需要持续观察后续情况。</w:t>
      </w:r>
    </w:p>
    <w:p>
      <w:r>
        <w:rPr>
          <w:rFonts w:ascii="等线(中文正文)" w:hAnsi="等线(中文正文)" w:cs="等线(中文正文)" w:eastAsia="等线(中文正文)"/>
          <w:b w:val="false"/>
          <w:i w:val="false"/>
          <w:sz w:val="20"/>
        </w:rPr>
        <w:t/>
      </w:r>
    </w:p>
    <w:p>
      <w:pPr>
        <w:pStyle w:val="ab"/>
      </w:pPr>
      <w:r>
        <w:t>发言人1 问：相比竞争对手，公司在海运费用上的影响是否更弱？油价上涨会对公司成本及糖蜜价格产生何种影响？</w:t>
      </w:r>
    </w:p>
    <w:p>
      <w:r>
        <w:rPr>
          <w:rFonts w:ascii="等线(中文正文)" w:hAnsi="等线(中文正文)" w:cs="等线(中文正文)" w:eastAsia="等线(中文正文)"/>
          <w:b w:val="false"/>
          <w:i w:val="false"/>
          <w:sz w:val="20"/>
        </w:rPr>
        <w:t>发言人1 答：公司在海运费用上的影响并不一定比竞争对手弱，因为虽然公司在埃及和俄罗斯有生产基地，但所有三酵母产品都需要全球运输，尤其是新酵母周边销售不需要长途海运。关于油价上涨，竞争对手直接受到原料成本变化的影响，而公司虽然也会受影响，但由于大部分产能在中国，国内汽油价格上涨幅度相对较小，因此影响相对有限。</w:t>
      </w:r>
    </w:p>
    <w:p>
      <w:r>
        <w:rPr>
          <w:rFonts w:ascii="等线(中文正文)" w:hAnsi="等线(中文正文)" w:cs="等线(中文正文)" w:eastAsia="等线(中文正文)"/>
          <w:b w:val="false"/>
          <w:i w:val="false"/>
          <w:sz w:val="20"/>
        </w:rPr>
        <w:t/>
      </w:r>
    </w:p>
    <w:p>
      <w:pPr>
        <w:pStyle w:val="ab"/>
      </w:pPr>
      <w:r>
        <w:t>发言人1 问：海运费的影响是否体现在毛利率中？</w:t>
      </w:r>
    </w:p>
    <w:p>
      <w:r>
        <w:rPr>
          <w:rFonts w:ascii="等线(中文正文)" w:hAnsi="等线(中文正文)" w:cs="等线(中文正文)" w:eastAsia="等线(中文正文)"/>
          <w:b w:val="false"/>
          <w:i w:val="false"/>
          <w:sz w:val="20"/>
        </w:rPr>
        <w:t>发言人1 答：是的，海运费的影响体现在成本里面，最终会反映在毛利率上。</w:t>
      </w:r>
    </w:p>
    <w:p>
      <w:r>
        <w:rPr>
          <w:rFonts w:ascii="等线(中文正文)" w:hAnsi="等线(中文正文)" w:cs="等线(中文正文)" w:eastAsia="等线(中文正文)"/>
          <w:b w:val="false"/>
          <w:i w:val="false"/>
          <w:sz w:val="20"/>
        </w:rPr>
        <w:t/>
      </w:r>
    </w:p>
    <w:p>
      <w:pPr>
        <w:pStyle w:val="ab"/>
      </w:pPr>
      <w:r>
        <w:t>发言人1 问：国内竞争对手的销售均价今年是否有下降？</w:t>
      </w:r>
    </w:p>
    <w:p>
      <w:r>
        <w:rPr>
          <w:rFonts w:ascii="等线(中文正文)" w:hAnsi="等线(中文正文)" w:cs="等线(中文正文)" w:eastAsia="等线(中文正文)"/>
          <w:b w:val="false"/>
          <w:i w:val="false"/>
          <w:sz w:val="20"/>
        </w:rPr>
        <w:t>发言人1 答：其实行业并没有一个统一的指导价，我们的产品价格是灵活应对市场变化的，竞争对手降价时我们也可以降，但我们的价格调整幅度会低于原料成本下降幅度。</w:t>
      </w:r>
    </w:p>
    <w:p>
      <w:r>
        <w:rPr>
          <w:rFonts w:ascii="等线(中文正文)" w:hAnsi="等线(中文正文)" w:cs="等线(中文正文)" w:eastAsia="等线(中文正文)"/>
          <w:b w:val="false"/>
          <w:i w:val="false"/>
          <w:sz w:val="20"/>
        </w:rPr>
        <w:t/>
      </w:r>
    </w:p>
    <w:p>
      <w:pPr>
        <w:pStyle w:val="ab"/>
      </w:pPr>
      <w:r>
        <w:t>发言人1 问：当前新建产能的进度和规划是怎样的？</w:t>
      </w:r>
    </w:p>
    <w:p>
      <w:r>
        <w:rPr>
          <w:rFonts w:ascii="等线(中文正文)" w:hAnsi="等线(中文正文)" w:cs="等线(中文正文)" w:eastAsia="等线(中文正文)"/>
          <w:b w:val="false"/>
          <w:i w:val="false"/>
          <w:sz w:val="20"/>
        </w:rPr>
        <w:t>发言人1 答：我们正在积极扩建产能，目前在建和已建的产能超过50万吨，预计今年年底可达60万吨以上。在建的印尼工厂预计今年年底投产，俄罗斯工厂将在明年年初投产。此外，通过并购和新增投资，如正通行业种植甜菜面积翻倍带来的新增2万吨生产线，以及酵母蛋白产能的扩建，我们有信心实现目标。</w:t>
      </w:r>
    </w:p>
    <w:p>
      <w:r>
        <w:rPr>
          <w:rFonts w:ascii="等线(中文正文)" w:hAnsi="等线(中文正文)" w:cs="等线(中文正文)" w:eastAsia="等线(中文正文)"/>
          <w:b w:val="false"/>
          <w:i w:val="false"/>
          <w:sz w:val="20"/>
        </w:rPr>
        <w:t/>
      </w:r>
    </w:p>
    <w:p>
      <w:pPr>
        <w:pStyle w:val="ab"/>
      </w:pPr>
      <w:r>
        <w:t>发言人1 问：国内YE（酵母）市场需求是否复苏明显，以及国内产能是否充足？</w:t>
      </w:r>
    </w:p>
    <w:p>
      <w:r>
        <w:rPr>
          <w:rFonts w:ascii="等线(中文正文)" w:hAnsi="等线(中文正文)" w:cs="等线(中文正文)" w:eastAsia="等线(中文正文)"/>
          <w:b w:val="false"/>
          <w:i w:val="false"/>
          <w:sz w:val="20"/>
        </w:rPr>
        <w:t>发言人1 答：国内YE需求确实有明显的复苏趋势，但增长幅度并未达到大家预想的水平。国内产能目前是足够的，虽然整体增速不如海外，但仍保持了接近10%的增长。</w:t>
      </w:r>
    </w:p>
    <w:p>
      <w:r>
        <w:rPr>
          <w:rFonts w:ascii="等线(中文正文)" w:hAnsi="等线(中文正文)" w:cs="等线(中文正文)" w:eastAsia="等线(中文正文)"/>
          <w:b w:val="false"/>
          <w:i w:val="false"/>
          <w:sz w:val="20"/>
        </w:rPr>
        <w:t/>
      </w:r>
    </w:p>
    <w:p>
      <w:pPr>
        <w:pStyle w:val="ab"/>
      </w:pPr>
      <w:r>
        <w:t>发言人1 问：对于海外市场的扩展计划以及营销策略有何改变？</w:t>
      </w:r>
    </w:p>
    <w:p>
      <w:r>
        <w:rPr>
          <w:rFonts w:ascii="等线(中文正文)" w:hAnsi="等线(中文正文)" w:cs="等线(中文正文)" w:eastAsia="等线(中文正文)"/>
          <w:b w:val="false"/>
          <w:i w:val="false"/>
          <w:sz w:val="20"/>
        </w:rPr>
        <w:t>发言人1 答：我们正在实施全球销售渠道和团队本地化战略，不再依赖国内团队运作全球销售。同时，我们也在积极拓展其他空白市场，并针对海外不同地区制定相应的营销策略。</w:t>
      </w:r>
    </w:p>
    <w:p>
      <w:r>
        <w:rPr>
          <w:rFonts w:ascii="等线(中文正文)" w:hAnsi="等线(中文正文)" w:cs="等线(中文正文)" w:eastAsia="等线(中文正文)"/>
          <w:b w:val="false"/>
          <w:i w:val="false"/>
          <w:sz w:val="20"/>
        </w:rPr>
        <w:t/>
      </w:r>
    </w:p>
    <w:p>
      <w:pPr>
        <w:pStyle w:val="ab"/>
      </w:pPr>
      <w:r>
        <w:t>发言人1 问：控股股东发行非公开可交换债券对股份公司的影响是什么？</w:t>
      </w:r>
    </w:p>
    <w:p>
      <w:r>
        <w:rPr>
          <w:rFonts w:ascii="等线(中文正文)" w:hAnsi="等线(中文正文)" w:cs="等线(中文正文)" w:eastAsia="等线(中文正文)"/>
          <w:b w:val="false"/>
          <w:i w:val="false"/>
          <w:sz w:val="20"/>
        </w:rPr>
        <w:t>发言人1 答：控股股东发行非公开可交换债券不会影响公司的控制权，尽管可能造成集团持股比例有所下降，但由于公司大股东持股比例较高且未减持，即使降到30%仍能保证控股权。控股股东此举主要是为了优化其持股结构和进行正常的资本运作。</w:t>
      </w:r>
    </w:p>
    <w:p>
      <w:r>
        <w:rPr>
          <w:rFonts w:ascii="等线(中文正文)" w:hAnsi="等线(中文正文)" w:cs="等线(中文正文)" w:eastAsia="等线(中文正文)"/>
          <w:b w:val="false"/>
          <w:i w:val="false"/>
          <w:sz w:val="20"/>
        </w:rPr>
        <w:t/>
      </w:r>
    </w:p>
    <w:p>
      <w:pPr>
        <w:pStyle w:val="ab"/>
      </w:pPr>
      <w:r>
        <w:t>发言人1 问：在宜昌的情况中，即使控股比例只有18%，为什么仍能成为第一大股东？</w:t>
      </w:r>
    </w:p>
    <w:p>
      <w:r>
        <w:rPr>
          <w:rFonts w:ascii="等线(中文正文)" w:hAnsi="等线(中文正文)" w:cs="等线(中文正文)" w:eastAsia="等线(中文正文)"/>
          <w:b w:val="false"/>
          <w:i w:val="false"/>
          <w:sz w:val="20"/>
        </w:rPr>
        <w:t>发言人1 答：这是因为资本市场的融资方式，大股东可以通过设定换股价来实现对公司的控制。如果未来股价达到一定水平，投资者可能会选择换股，从而使得大股东保持控制地位。</w:t>
      </w:r>
    </w:p>
    <w:p>
      <w:r>
        <w:rPr>
          <w:rFonts w:ascii="等线(中文正文)" w:hAnsi="等线(中文正文)" w:cs="等线(中文正文)" w:eastAsia="等线(中文正文)"/>
          <w:b w:val="false"/>
          <w:i w:val="false"/>
          <w:sz w:val="20"/>
        </w:rPr>
        <w:t/>
      </w:r>
    </w:p>
    <w:p>
      <w:pPr>
        <w:pStyle w:val="ab"/>
      </w:pPr>
      <w:r>
        <w:t>发言人1 问：集团的主要业务有哪些，与股份公司的协同程度如何？</w:t>
      </w:r>
    </w:p>
    <w:p>
      <w:r>
        <w:rPr>
          <w:rFonts w:ascii="等线(中文正文)" w:hAnsi="等线(中文正文)" w:cs="等线(中文正文)" w:eastAsia="等线(中文正文)"/>
          <w:b w:val="false"/>
          <w:i w:val="false"/>
          <w:sz w:val="20"/>
        </w:rPr>
        <w:t>发言人1 答：集团主要有两大块业务：生物科技和遗茶产业。生物科技涉及贸易产品及与华东医药合作的维生素类产品以及农业深加工产品；遗茶则主要指茶叶业务。这两块业务与股份公司有一定的协同效应，但协同度并不高，上市公司主导核心产品，其他公司负责关联度较小的产品。</w:t>
      </w:r>
    </w:p>
    <w:p>
      <w:r>
        <w:rPr>
          <w:rFonts w:ascii="等线(中文正文)" w:hAnsi="等线(中文正文)" w:cs="等线(中文正文)" w:eastAsia="等线(中文正文)"/>
          <w:b w:val="false"/>
          <w:i w:val="false"/>
          <w:sz w:val="20"/>
        </w:rPr>
        <w:t/>
      </w:r>
    </w:p>
    <w:p>
      <w:pPr>
        <w:pStyle w:val="ab"/>
      </w:pPr>
      <w:r>
        <w:t>发言人1 问：关于公司未来的分红比例是否有提升计划？</w:t>
      </w:r>
    </w:p>
    <w:p>
      <w:r>
        <w:rPr>
          <w:rFonts w:ascii="等线(中文正文)" w:hAnsi="等线(中文正文)" w:cs="等线(中文正文)" w:eastAsia="等线(中文正文)"/>
          <w:b w:val="false"/>
          <w:i w:val="false"/>
          <w:sz w:val="20"/>
        </w:rPr>
        <w:t>发言人1 答：公司确实有提升分红比例的计划。在不同的发展阶段，随着利润的增长和海外产能扩建、整合并购的需求，资金需求会阶段性变化，当投资趋于稳定时，会逐步提高分红。同时，章程规定最少30%的利润用于现金分配。</w:t>
      </w:r>
    </w:p>
    <w:p>
      <w:r>
        <w:rPr>
          <w:rFonts w:ascii="等线(中文正文)" w:hAnsi="等线(中文正文)" w:cs="等线(中文正文)" w:eastAsia="等线(中文正文)"/>
          <w:b w:val="false"/>
          <w:i w:val="false"/>
          <w:sz w:val="20"/>
        </w:rPr>
        <w:t/>
      </w:r>
    </w:p>
    <w:p>
      <w:pPr>
        <w:pStyle w:val="ab"/>
      </w:pPr>
      <w:r>
        <w:t>发言人1 问：公司是否有港股上市的计划？</w:t>
      </w:r>
    </w:p>
    <w:p>
      <w:r>
        <w:rPr>
          <w:rFonts w:ascii="等线(中文正文)" w:hAnsi="等线(中文正文)" w:cs="等线(中文正文)" w:eastAsia="等线(中文正文)"/>
          <w:b w:val="false"/>
          <w:i w:val="false"/>
          <w:sz w:val="20"/>
        </w:rPr>
        <w:t>发言人1 答：公司没有港股上市计划，主要是由于国企身份，在国资委审核过程中，港股上市折扣率较低，无法论证可行性。</w:t>
      </w:r>
    </w:p>
    <w:p>
      <w:r>
        <w:rPr>
          <w:rFonts w:ascii="等线(中文正文)" w:hAnsi="等线(中文正文)" w:cs="等线(中文正文)" w:eastAsia="等线(中文正文)"/>
          <w:b w:val="false"/>
          <w:i w:val="false"/>
          <w:sz w:val="20"/>
        </w:rPr>
        <w:t/>
      </w:r>
    </w:p>
    <w:p>
      <w:pPr>
        <w:pStyle w:val="ab"/>
      </w:pPr>
      <w:r>
        <w:t>发言人1 问：在利润增速可能快于收入增速的周期下，对于未来净利率提升是否有规划？</w:t>
      </w:r>
    </w:p>
    <w:p>
      <w:r>
        <w:rPr>
          <w:rFonts w:ascii="等线(中文正文)" w:hAnsi="等线(中文正文)" w:cs="等线(中文正文)" w:eastAsia="等线(中文正文)"/>
          <w:b w:val="false"/>
          <w:i w:val="false"/>
          <w:sz w:val="20"/>
        </w:rPr>
        <w:t>发言人1 答：净利率提升指引主要取决于原料变化，公司只能一年展望一年。今年国内采购已基本完成，利润情况较好，但明年情况可能会有所不同。公司无法预规划利润，只能规划收入，目标是避免利润大幅波动。</w:t>
      </w:r>
    </w:p>
    <w:p>
      <w:r>
        <w:rPr>
          <w:rFonts w:ascii="等线(中文正文)" w:hAnsi="等线(中文正文)" w:cs="等线(中文正文)" w:eastAsia="等线(中文正文)"/>
          <w:b w:val="false"/>
          <w:i w:val="false"/>
          <w:sz w:val="20"/>
        </w:rPr>
        <w:t/>
      </w:r>
    </w:p>
    <w:p>
      <w:pPr>
        <w:pStyle w:val="ab"/>
      </w:pPr>
      <w:r>
        <w:t>发言人1 问：目前水解糖使用比例大概是什么水平，以及信用减值损失准备的特殊因素？</w:t>
      </w:r>
    </w:p>
    <w:p>
      <w:r>
        <w:rPr>
          <w:rFonts w:ascii="等线(中文正文)" w:hAnsi="等线(中文正文)" w:cs="等线(中文正文)" w:eastAsia="等线(中文正文)"/>
          <w:b w:val="false"/>
          <w:i w:val="false"/>
          <w:sz w:val="20"/>
        </w:rPr>
        <w:t>发言人1 答：水解糖使用比例较低，宜昌地区目前仍依赖运输过来的产品。信用减值损失准备主要是基于谨慎性原则，对较大余额的应收账款提前计提，若后续款项能收回，则会相应转回。</w:t>
      </w:r>
    </w:p>
    <w:p>
      <w:r>
        <w:rPr>
          <w:rFonts w:ascii="等线(中文正文)" w:hAnsi="等线(中文正文)" w:cs="等线(中文正文)" w:eastAsia="等线(中文正文)"/>
          <w:b w:val="false"/>
          <w:i w:val="false"/>
          <w:sz w:val="20"/>
        </w:rPr>
        <w:t/>
      </w:r>
    </w:p>
    <w:p>
      <w:pPr>
        <w:pStyle w:val="ab"/>
      </w:pPr>
      <w:r>
        <w:t>发言人1 问：政府补贴在未来几年是否相对稳定？</w:t>
      </w:r>
    </w:p>
    <w:p>
      <w:r>
        <w:rPr>
          <w:rFonts w:ascii="等线(中文正文)" w:hAnsi="等线(中文正文)" w:cs="等线(中文正文)" w:eastAsia="等线(中文正文)"/>
          <w:b w:val="false"/>
          <w:i w:val="false"/>
          <w:sz w:val="20"/>
        </w:rPr>
        <w:t>发言人1 答：政府补贴预计每年大约在一亿到两亿之间，具体数额与政策及国际市场情况有关，难以准确预期。</w:t>
      </w:r>
    </w:p>
    <w:p>
      <w:r>
        <w:rPr>
          <w:rFonts w:ascii="等线(中文正文)" w:hAnsi="等线(中文正文)" w:cs="等线(中文正文)" w:eastAsia="等线(中文正文)"/>
          <w:b w:val="false"/>
          <w:i w:val="false"/>
          <w:sz w:val="20"/>
        </w:rPr>
        <w:t/>
      </w:r>
    </w:p>
    <w:p>
      <w:pPr>
        <w:pStyle w:val="ab"/>
      </w:pPr>
      <w:r>
        <w:t>发言人1 问：酵母蛋白业务的发展空间、下游应用案例以及竞争对手情况如何？</w:t>
      </w:r>
    </w:p>
    <w:p>
      <w:r>
        <w:rPr>
          <w:rFonts w:ascii="等线(中文正文)" w:hAnsi="等线(中文正文)" w:cs="等线(中文正文)" w:eastAsia="等线(中文正文)"/>
          <w:b w:val="false"/>
          <w:i w:val="false"/>
          <w:sz w:val="20"/>
        </w:rPr>
        <w:t>发言人1 答：酵母蛋白业务发展空间较大，目前在国内市场上与乳清蛋白竞争，成本上有优势，且在食品配方中可替代部分乳清蛋白。目前虽无明显下游应用案例，但已得到海天酱油等企业的应用。风味上与乳清蛋白存在差异，未来有出口市场的潜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2026-05-07T23:39:14Z</dcterms:created>
  <dc:creator>Apache POI</dc:creator>
</cp:coreProperties>
</file>