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宏和科技 260507_导读</w:t>
      </w:r>
    </w:p>
    <w:p>
      <w:pPr>
        <w:pStyle w:val="a0"/>
        <w:jc w:val="center"/>
      </w:pPr>
      <w:r>
        <w:t>2026年05月08日 07:37</w:t>
      </w:r>
    </w:p>
    <w:p>
      <w:pPr>
        <w:pStyle w:val="a7"/>
      </w:pPr>
      <w:r>
        <w:t>关键词</w:t>
      </w:r>
    </w:p>
    <w:p>
      <w:r>
        <w:rPr>
          <w:rFonts w:ascii="等线(中文正文)" w:hAnsi="等线(中文正文)" w:cs="等线(中文正文)" w:eastAsia="等线(中文正文)"/>
          <w:b w:val="false"/>
          <w:i w:val="false"/>
          <w:sz w:val="20"/>
        </w:rPr>
        <w:t xml:space="preserve">高性能电子部 出货量 毛利率 结构优化 普通电子部 超薄布 厚布 薄布 汽车产业链 算力需求 高性能产品 客户订单 织布机 二季度 价格 超薄 极薄 终端客户 需求 产能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天风证券建筑建材新材料分析师办公室组织的策略会中，一位企业高管分享了公司高性能电子产品的销售、毛利率、出货量情况及市场动态。面对原材料价格上涨和需求增长的双重压力，公司通过优化结构和调整产能，成功保持了毛利率稳定，并预期未来业绩将持续增长。此外，企业正加大对高性能产品领域的投资，包括设备更新与产能扩张，以应对市场对高性能电子布料的旺盛需求。高管还回应了投资者关于价格走势、技术进步及未来产品研发方向的关切，强调公司将继续推进技术创新和市场扩展，旨在增强市场竞争力和盈利能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鸿合科技一季度业绩与产品结构优化分析</w:t>
      </w:r>
    </w:p>
    <w:p>
      <w:r>
        <w:rPr>
          <w:rFonts w:ascii="等线(中文正文)" w:hAnsi="等线(中文正文)" w:cs="等线(中文正文)" w:eastAsia="等线(中文正文)"/>
          <w:b w:val="false"/>
          <w:i w:val="false"/>
          <w:sz w:val="20"/>
        </w:rPr>
        <w:t>对话围绕鸿合科技一季度的财务表现和产品结构优化展开。一季度，高性能电子部产品销售额达1.4亿元，出货量300万米，毛利率65%；普通电子部产品销售额2.9亿元，毛利率38%。公司通过优化产品结构，尤其是减少低毛利率产品，提高了整体毛利率。二季度，高性能产品需求持续旺盛，预计收入和毛利率将持续增长。</w:t>
      </w:r>
    </w:p>
    <w:p>
      <w:r>
        <w:rPr>
          <w:rFonts w:ascii="等线(中文正文)" w:hAnsi="等线(中文正文)" w:cs="等线(中文正文)" w:eastAsia="等线(中文正文)"/>
          <w:b w:val="false"/>
          <w:i w:val="false"/>
          <w:sz w:val="20"/>
        </w:rPr>
        <w:t/>
      </w:r>
    </w:p>
    <w:p>
      <w:pPr>
        <w:pStyle w:val="ab"/>
        <w:numPr>
          <w:numId w:val="2"/>
        </w:numPr>
      </w:pPr>
      <w:r>
        <w:t>04:57 高性能产品布局与市场需求趋势</w:t>
      </w:r>
    </w:p>
    <w:p>
      <w:r>
        <w:rPr>
          <w:rFonts w:ascii="等线(中文正文)" w:hAnsi="等线(中文正文)" w:cs="等线(中文正文)" w:eastAsia="等线(中文正文)"/>
          <w:b w:val="false"/>
          <w:i w:val="false"/>
          <w:sz w:val="20"/>
        </w:rPr>
        <w:t>公司基于市场需求趋势，提前与终端客户洽谈，计划扩大高性能产品的生产。目前正分期分批布局，包括启动厂房建设和设备引进，目标是到27年实现CT产品1600万的出货量。同时，公司持续优化一代、二代及CT产品的供应，价格随原料成本上涨而上调。此外，公司还致力于开拓更多应用场景，如存储领域，以增强市场竞争力。</w:t>
      </w:r>
    </w:p>
    <w:p>
      <w:r>
        <w:rPr>
          <w:rFonts w:ascii="等线(中文正文)" w:hAnsi="等线(中文正文)" w:cs="等线(中文正文)" w:eastAsia="等线(中文正文)"/>
          <w:b w:val="false"/>
          <w:i w:val="false"/>
          <w:sz w:val="20"/>
        </w:rPr>
        <w:t/>
      </w:r>
    </w:p>
    <w:p>
      <w:pPr>
        <w:pStyle w:val="ab"/>
        <w:numPr>
          <w:numId w:val="3"/>
        </w:numPr>
      </w:pPr>
      <w:r>
        <w:t>10:45 公司年报与一季报毛利率分析</w:t>
      </w:r>
    </w:p>
    <w:p>
      <w:r>
        <w:rPr>
          <w:rFonts w:ascii="等线(中文正文)" w:hAnsi="等线(中文正文)" w:cs="等线(中文正文)" w:eastAsia="等线(中文正文)"/>
          <w:b w:val="false"/>
          <w:i w:val="false"/>
          <w:sz w:val="20"/>
        </w:rPr>
        <w:t>分享了公司年报与一季报中普通产品和高性能产品的毛利率情况，指出高性能产品毛利率较高，且一季度毛利率均有所提升，未来将持续优化产能结构以提升业绩和毛利率。</w:t>
      </w:r>
    </w:p>
    <w:p>
      <w:r>
        <w:rPr>
          <w:rFonts w:ascii="等线(中文正文)" w:hAnsi="等线(中文正文)" w:cs="等线(中文正文)" w:eastAsia="等线(中文正文)"/>
          <w:b w:val="false"/>
          <w:i w:val="false"/>
          <w:sz w:val="20"/>
        </w:rPr>
        <w:t/>
      </w:r>
    </w:p>
    <w:p>
      <w:pPr>
        <w:pStyle w:val="ab"/>
        <w:numPr>
          <w:numId w:val="4"/>
        </w:numPr>
      </w:pPr>
      <w:r>
        <w:t>14:07 公司出货量与织机设备布局计划</w:t>
      </w:r>
    </w:p>
    <w:p>
      <w:r>
        <w:rPr>
          <w:rFonts w:ascii="等线(中文正文)" w:hAnsi="等线(中文正文)" w:cs="等线(中文正文)" w:eastAsia="等线(中文正文)"/>
          <w:b w:val="false"/>
          <w:i w:val="false"/>
          <w:sz w:val="20"/>
        </w:rPr>
        <w:t>对话讨论了公司出货量目标与织机设备布局计划。一季度出货量约100万，二季度预计略有增长，全年目标200万。公司现有织机1200多台，年底将新增几百台，主要服务于高端产品生产，设备供应商已签订战略保供协议，确保快速交付。</w:t>
      </w:r>
    </w:p>
    <w:p>
      <w:r>
        <w:rPr>
          <w:rFonts w:ascii="等线(中文正文)" w:hAnsi="等线(中文正文)" w:cs="等线(中文正文)" w:eastAsia="等线(中文正文)"/>
          <w:b w:val="false"/>
          <w:i w:val="false"/>
          <w:sz w:val="20"/>
        </w:rPr>
        <w:t/>
      </w:r>
    </w:p>
    <w:p>
      <w:pPr>
        <w:pStyle w:val="ab"/>
        <w:numPr>
          <w:numId w:val="5"/>
        </w:numPr>
      </w:pPr>
      <w:r>
        <w:t>18:22 80亿资本开支与产能释放计划详解</w:t>
      </w:r>
    </w:p>
    <w:p>
      <w:r>
        <w:rPr>
          <w:rFonts w:ascii="等线(中文正文)" w:hAnsi="等线(中文正文)" w:cs="等线(中文正文)" w:eastAsia="等线(中文正文)"/>
          <w:b w:val="false"/>
          <w:i w:val="false"/>
          <w:sz w:val="20"/>
        </w:rPr>
        <w:t>对话讨论了基于客户需求的产能扩展计划，强调先订单后生产的原则，涉及高性能及普通产品的全方位需求增长。提及与黄石政府的战略合作协议，计划逐步释放产能，预计明年将有首批设备投放，后续将依据订单规模分期释放。当前在手订单量远超产能，终端客户直接下单量大，因此制定了80亿的投资规模，旨在满足终端市场需求。</w:t>
      </w:r>
    </w:p>
    <w:p>
      <w:r>
        <w:rPr>
          <w:rFonts w:ascii="等线(中文正文)" w:hAnsi="等线(中文正文)" w:cs="等线(中文正文)" w:eastAsia="等线(中文正文)"/>
          <w:b w:val="false"/>
          <w:i w:val="false"/>
          <w:sz w:val="20"/>
        </w:rPr>
        <w:t/>
      </w:r>
    </w:p>
    <w:p>
      <w:pPr>
        <w:pStyle w:val="ab"/>
        <w:numPr>
          <w:numId w:val="6"/>
        </w:numPr>
      </w:pPr>
      <w:r>
        <w:t>21:43 行业价格趋势与产能需求分析</w:t>
      </w:r>
    </w:p>
    <w:p>
      <w:r>
        <w:rPr>
          <w:rFonts w:ascii="等线(中文正文)" w:hAnsi="等线(中文正文)" w:cs="等线(中文正文)" w:eastAsia="等线(中文正文)"/>
          <w:b w:val="false"/>
          <w:i w:val="false"/>
          <w:sz w:val="20"/>
        </w:rPr>
        <w:t>对话围绕行业价格趋势展开，指出当前需求远超产能，导致价格持续上涨。同行企业普遍调价，预计未来价格仍将上升，尤其是高性能产品。公司基于成本上升及市场需求，决定跟随行业趋势调整价格，以维持毛利率稳定增长。</w:t>
      </w:r>
    </w:p>
    <w:p>
      <w:r>
        <w:rPr>
          <w:rFonts w:ascii="等线(中文正文)" w:hAnsi="等线(中文正文)" w:cs="等线(中文正文)" w:eastAsia="等线(中文正文)"/>
          <w:b w:val="false"/>
          <w:i w:val="false"/>
          <w:sz w:val="20"/>
        </w:rPr>
        <w:t/>
      </w:r>
    </w:p>
    <w:p>
      <w:pPr>
        <w:pStyle w:val="ab"/>
        <w:numPr>
          <w:numId w:val="7"/>
        </w:numPr>
      </w:pPr>
      <w:r>
        <w:t>24:26 服务器与消费电子芯片封装价格差异分析</w:t>
      </w:r>
    </w:p>
    <w:p>
      <w:r>
        <w:rPr>
          <w:rFonts w:ascii="等线(中文正文)" w:hAnsi="等线(中文正文)" w:cs="等线(中文正文)" w:eastAsia="等线(中文正文)"/>
          <w:b w:val="false"/>
          <w:i w:val="false"/>
          <w:sz w:val="20"/>
        </w:rPr>
        <w:t>对话讨论了服务器和消费电子领域芯片封装的价格与毛利率。尽管综合毛利率保持在约七成，但产品规格不同导致价格差异。服务器封装因较大较厚而成本较低，消费电子封装因追求轻薄而成本较高，价格范围从80至240不等。</w:t>
      </w:r>
    </w:p>
    <w:p>
      <w:r>
        <w:rPr>
          <w:rFonts w:ascii="等线(中文正文)" w:hAnsi="等线(中文正文)" w:cs="等线(中文正文)" w:eastAsia="等线(中文正文)"/>
          <w:b w:val="false"/>
          <w:i w:val="false"/>
          <w:sz w:val="20"/>
        </w:rPr>
        <w:t/>
      </w:r>
    </w:p>
    <w:p>
      <w:pPr>
        <w:pStyle w:val="ab"/>
        <w:numPr>
          <w:numId w:val="8"/>
        </w:numPr>
      </w:pPr>
      <w:r>
        <w:t>26:37 终端客户直接对接材料供应商推动产能布局</w:t>
      </w:r>
    </w:p>
    <w:p>
      <w:r>
        <w:rPr>
          <w:rFonts w:ascii="等线(中文正文)" w:hAnsi="等线(中文正文)" w:cs="等线(中文正文)" w:eastAsia="等线(中文正文)"/>
          <w:b w:val="false"/>
          <w:i w:val="false"/>
          <w:sz w:val="20"/>
        </w:rPr>
        <w:t>随着算力需求增长，终端客户如英特尔、MD、闪迪等直接跳过中间商联系材料供应商，推动供应商进行产能布局。供应商在获得终端客户对未来需求和资金支持的明确承诺后，正积极扩大生产，确保产品交付。去年交付A公司订单后，今年在tigers产品线的订单和出货量显著提升，预计全年成长明显。</w:t>
      </w:r>
    </w:p>
    <w:p>
      <w:r>
        <w:rPr>
          <w:rFonts w:ascii="等线(中文正文)" w:hAnsi="等线(中文正文)" w:cs="等线(中文正文)" w:eastAsia="等线(中文正文)"/>
          <w:b w:val="false"/>
          <w:i w:val="false"/>
          <w:sz w:val="20"/>
        </w:rPr>
        <w:t/>
      </w:r>
    </w:p>
    <w:p>
      <w:pPr>
        <w:pStyle w:val="ab"/>
        <w:numPr>
          <w:numId w:val="9"/>
        </w:numPr>
      </w:pPr>
      <w:r>
        <w:t>31:37 技术对接与供应链合作深化</w:t>
      </w:r>
    </w:p>
    <w:p>
      <w:r>
        <w:rPr>
          <w:rFonts w:ascii="等线(中文正文)" w:hAnsi="等线(中文正文)" w:cs="等线(中文正文)" w:eastAsia="等线(中文正文)"/>
          <w:b w:val="false"/>
          <w:i w:val="false"/>
          <w:sz w:val="20"/>
        </w:rPr>
        <w:t>对话围绕与终端客户直接合作展开，强调了技术对接在供应链管理中的重要性。自公司上市后，通过与国内客户的紧密技术交流，尤其是在PCB技术升级方面，成功解决了芯片受阻问题，推动了手机销量增长。公司凭借国内布局优势，与CCO厂及PCB供应商建立了顺畅的合作关系，通过快速响应客户需求，实现了技术领先，深化了与国内客户的合作。</w:t>
      </w:r>
    </w:p>
    <w:p>
      <w:r>
        <w:rPr>
          <w:rFonts w:ascii="等线(中文正文)" w:hAnsi="等线(中文正文)" w:cs="等线(中文正文)" w:eastAsia="等线(中文正文)"/>
          <w:b w:val="false"/>
          <w:i w:val="false"/>
          <w:sz w:val="20"/>
        </w:rPr>
        <w:t/>
      </w:r>
    </w:p>
    <w:p>
      <w:pPr>
        <w:pStyle w:val="ab"/>
        <w:numPr>
          <w:numId w:val="10"/>
        </w:numPr>
      </w:pPr>
      <w:r>
        <w:t>34:12 石英电子布产能与良率提升战略分享</w:t>
      </w:r>
    </w:p>
    <w:p>
      <w:r>
        <w:rPr>
          <w:rFonts w:ascii="等线(中文正文)" w:hAnsi="等线(中文正文)" w:cs="等线(中文正文)" w:eastAsia="等线(中文正文)"/>
          <w:b w:val="false"/>
          <w:i w:val="false"/>
          <w:sz w:val="20"/>
        </w:rPr>
        <w:t>讨论了石英电子布的战略布局，包括与日本客户的早期合作、国内供应商的选择及良率提升情况。提到2015-2016年开始生产，2023-2024年H公司战略安排，国内有三家Q砂供应商，良率已提升至80%-90%，预计2027年贡献显著，终端需求预计下半年启动，布局充足，可直接优化生产。</w:t>
      </w:r>
    </w:p>
    <w:p>
      <w:r>
        <w:rPr>
          <w:rFonts w:ascii="等线(中文正文)" w:hAnsi="等线(中文正文)" w:cs="等线(中文正文)" w:eastAsia="等线(中文正文)"/>
          <w:b w:val="false"/>
          <w:i w:val="false"/>
          <w:sz w:val="20"/>
        </w:rPr>
        <w:t/>
      </w:r>
    </w:p>
    <w:p>
      <w:pPr>
        <w:pStyle w:val="ab"/>
        <w:numPr>
          <w:numId w:val="11"/>
        </w:numPr>
      </w:pPr>
      <w:r>
        <w:t>39:35 提升良率与技术储备推动毛利率增长</w:t>
      </w:r>
    </w:p>
    <w:p>
      <w:r>
        <w:rPr>
          <w:rFonts w:ascii="等线(中文正文)" w:hAnsi="等线(中文正文)" w:cs="等线(中文正文)" w:eastAsia="等线(中文正文)"/>
          <w:b w:val="false"/>
          <w:i w:val="false"/>
          <w:sz w:val="20"/>
        </w:rPr>
        <w:t>讨论了提升良率对毛利率的正面影响，以及在高性能产品和新材料开发上的技术储备情况。强调了产品质量稳定性与客户需求满足的重要性，同时透露了在低介电常数和热膨胀系数等技术领域持续研发的计划，以实现成本降低和毛利率提升的目标。</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主持的策略会议由天风证券建筑建材新材料分析师办公室主办，主要讨论了鸿合科技的年报和季报。他介绍了高性能电子产品的出货量、价格情况和毛利率，强调了公司在结构优化、产品升级方面的努力，以及对市场需求和未来市场的看法。他还提到了公司对OCDE、一代、二代、CTE等高性能产品的专注，以及与英特尔、AMD、闪迪等公司的合作进展。此外，他分享了公司在高端产品的技术储备和研发计划，包括M9以上材料的开发，以及对良率提升和成本控制的关注。最后，他解答了投资者关于产品价格、市场趋势、技术研发等具体问题，表达了公司对未来市场增长的乐观态度和积极的策略布局。</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问：鸿合科技在第一季度的经营状况如何，主要产品销售和毛利率情况怎么样？公司为何持续进行结构优化，以及普通产品毛利率上升的原因是什么？</w:t>
      </w:r>
    </w:p>
    <w:p>
      <w:r>
        <w:rPr>
          <w:rFonts w:ascii="等线(中文正文)" w:hAnsi="等线(中文正文)" w:cs="等线(中文正文)" w:eastAsia="等线(中文正文)"/>
          <w:b w:val="false"/>
          <w:i w:val="false"/>
          <w:sz w:val="20"/>
        </w:rPr>
        <w:t>发言人1 答：在第一季度，鸿合科技的高性能电子部，包括一代、二代以及CTE产品，销售总额约为1.4亿元人民币，总出货量约为300万米。这一季度，这些产品的综合毛利率达到了65%左右，显示出高毛利率对公司收益的积极贡献。同时，普通电子部的收入为2.9亿元人民币，对应的4150万米产品出货量带来的毛利率则为38%，而普通产品的综合毛利率则为55%。这一增长主要源于产品需求逐渐向高端市场转移以及公司通过结构优化调整产品组合，使得整体毛利率有所提升。公司坚持结构优化是因为市场需求在变化，产品需求正逐步向高端迈进。普通产品方面，一季度的毛利率上升是因为产品单价持续上涨，并且产品结构也在发生变化。具体来说，公司减少了低毛利率产品的比例，如厚布、薄布等，从而使得普通产品的毛利率有所提升。</w:t>
      </w:r>
    </w:p>
    <w:p>
      <w:r>
        <w:rPr>
          <w:rFonts w:ascii="等线(中文正文)" w:hAnsi="等线(中文正文)" w:cs="等线(中文正文)" w:eastAsia="等线(中文正文)"/>
          <w:b w:val="false"/>
          <w:i w:val="false"/>
          <w:sz w:val="20"/>
        </w:rPr>
        <w:t/>
      </w:r>
    </w:p>
    <w:p>
      <w:pPr>
        <w:pStyle w:val="ab"/>
      </w:pPr>
      <w:r>
        <w:t>发言人1 问：对于第二季度的市场展望如何？</w:t>
      </w:r>
    </w:p>
    <w:p>
      <w:r>
        <w:rPr>
          <w:rFonts w:ascii="等线(中文正文)" w:hAnsi="等线(中文正文)" w:cs="等线(中文正文)" w:eastAsia="等线(中文正文)"/>
          <w:b w:val="false"/>
          <w:i w:val="false"/>
          <w:sz w:val="20"/>
        </w:rPr>
        <w:t>发言人1 答：预计第二季度高端产品的需求缺口仍然较大，无论是高性能产品还是普通产品，市场需求均呈现上升趋势。公司将继续受益于市场结构变化带来的机会，通过优化产品结构，进一步提升收入水平。</w:t>
      </w:r>
    </w:p>
    <w:p>
      <w:r>
        <w:rPr>
          <w:rFonts w:ascii="等线(中文正文)" w:hAnsi="等线(中文正文)" w:cs="等线(中文正文)" w:eastAsia="等线(中文正文)"/>
          <w:b w:val="false"/>
          <w:i w:val="false"/>
          <w:sz w:val="20"/>
        </w:rPr>
        <w:t/>
      </w:r>
    </w:p>
    <w:p>
      <w:pPr>
        <w:pStyle w:val="ab"/>
      </w:pPr>
      <w:r>
        <w:t>发言人1 问：目前公司在手订单情况如何？未来有何扩产计划？</w:t>
      </w:r>
    </w:p>
    <w:p>
      <w:r>
        <w:rPr>
          <w:rFonts w:ascii="等线(中文正文)" w:hAnsi="等线(中文正文)" w:cs="等线(中文正文)" w:eastAsia="等线(中文正文)"/>
          <w:b w:val="false"/>
          <w:i w:val="false"/>
          <w:sz w:val="20"/>
        </w:rPr>
        <w:t>发言人1 答：目前，终端客户基于对未来市场需求的预期，已提前与公司洽谈并寻求扩产合作。公司会先确认未来需求量后再进行扩产准备。关于投资规模，公司计划分期分批在高性能产品领域进行布局，首个投资项目已在四月份启动厂房建设，预计年底设备到位，明年开始逐渐释放产能。</w:t>
      </w:r>
    </w:p>
    <w:p>
      <w:r>
        <w:rPr>
          <w:rFonts w:ascii="等线(中文正文)" w:hAnsi="等线(中文正文)" w:cs="等线(中文正文)" w:eastAsia="等线(中文正文)"/>
          <w:b w:val="false"/>
          <w:i w:val="false"/>
          <w:sz w:val="20"/>
        </w:rPr>
        <w:t/>
      </w:r>
    </w:p>
    <w:p>
      <w:pPr>
        <w:pStyle w:val="ab"/>
      </w:pPr>
      <w:r>
        <w:t>发言人1 问：公司对于今年及未来几年高性能产品的出货量目标是什么？</w:t>
      </w:r>
    </w:p>
    <w:p>
      <w:r>
        <w:rPr>
          <w:rFonts w:ascii="等线(中文正文)" w:hAnsi="等线(中文正文)" w:cs="等线(中文正文)" w:eastAsia="等线(中文正文)"/>
          <w:b w:val="false"/>
          <w:i w:val="false"/>
          <w:sz w:val="20"/>
        </w:rPr>
        <w:t>发言人1 答：今年，公司预计CT等高性能产品的全年出货量将达到800万米，且已接洽的中单可能促使早些出货。目标是今年将一代、二代、CT三款产品总出货量提升至1200万米。到2027年，CT产品的预计出货量为1600万米。公司将全力满足客户对高性能产品的订单需求，并提前布局以抓住算力需求持续增长的市场机遇。</w:t>
      </w:r>
    </w:p>
    <w:p>
      <w:r>
        <w:rPr>
          <w:rFonts w:ascii="等线(中文正文)" w:hAnsi="等线(中文正文)" w:cs="等线(中文正文)" w:eastAsia="等线(中文正文)"/>
          <w:b w:val="false"/>
          <w:i w:val="false"/>
          <w:sz w:val="20"/>
        </w:rPr>
        <w:t/>
      </w:r>
    </w:p>
    <w:p>
      <w:pPr>
        <w:pStyle w:val="ab"/>
      </w:pPr>
      <w:r>
        <w:t>发言人1 问：公司目前在TOS产品方面的发展和计划是什么？</w:t>
      </w:r>
    </w:p>
    <w:p>
      <w:r>
        <w:rPr>
          <w:rFonts w:ascii="等线(中文正文)" w:hAnsi="等线(中文正文)" w:cs="等线(中文正文)" w:eastAsia="等线(中文正文)"/>
          <w:b w:val="false"/>
          <w:i w:val="false"/>
          <w:sz w:val="20"/>
        </w:rPr>
        <w:t>发言人1 答：公司正在积极与更多终端接洽，推广TOS产品，这款产品的性能综合且强大，已进入服务器供应链和消费类电子供应链。未来还将探索存储领域，开发更多应用场景，并重点放在CP产品的战略上。</w:t>
      </w:r>
    </w:p>
    <w:p>
      <w:r>
        <w:rPr>
          <w:rFonts w:ascii="等线(中文正文)" w:hAnsi="等线(中文正文)" w:cs="等线(中文正文)" w:eastAsia="等线(中文正文)"/>
          <w:b w:val="false"/>
          <w:i w:val="false"/>
          <w:sz w:val="20"/>
        </w:rPr>
        <w:t/>
      </w:r>
    </w:p>
    <w:p>
      <w:pPr>
        <w:pStyle w:val="ab"/>
      </w:pPr>
      <w:r>
        <w:t>发言人1 问：对于一代和二代TOS产品的情况如何？Q步产品的市场布局情况如何？</w:t>
      </w:r>
    </w:p>
    <w:p>
      <w:r>
        <w:rPr>
          <w:rFonts w:ascii="等线(中文正文)" w:hAnsi="等线(中文正文)" w:cs="等线(中文正文)" w:eastAsia="等线(中文正文)"/>
          <w:b w:val="false"/>
          <w:i w:val="false"/>
          <w:sz w:val="20"/>
        </w:rPr>
        <w:t>发言人1 答：一代产品目前仍是需求主力，每月出货量约60万片，因此公司会继续生产。二代产品也备受期待，预计价格会维持上升趋势，与市场需求和同行业涨价策略有关。目前了解到提拉斯产品的单价在80到240之间，公司全系列都提供供应服务，并在持续开拓二代客户的市场。Q步产品是未来需求的重要布局方向，公司已与客户进行了验证和稳定性测试，一旦客户放量，公司将根据订单进行对接。</w:t>
      </w:r>
    </w:p>
    <w:p>
      <w:r>
        <w:rPr>
          <w:rFonts w:ascii="等线(中文正文)" w:hAnsi="等线(中文正文)" w:cs="等线(中文正文)" w:eastAsia="等线(中文正文)"/>
          <w:b w:val="false"/>
          <w:i w:val="false"/>
          <w:sz w:val="20"/>
        </w:rPr>
        <w:t/>
      </w:r>
    </w:p>
    <w:p>
      <w:pPr>
        <w:pStyle w:val="ab"/>
      </w:pPr>
      <w:r>
        <w:t>发言人1 问：关于年报中普通产品和高性能产品的毛利率情况？</w:t>
      </w:r>
    </w:p>
    <w:p>
      <w:r>
        <w:rPr>
          <w:rFonts w:ascii="等线(中文正文)" w:hAnsi="等线(中文正文)" w:cs="等线(中文正文)" w:eastAsia="等线(中文正文)"/>
          <w:b w:val="false"/>
          <w:i w:val="false"/>
          <w:sz w:val="20"/>
        </w:rPr>
        <w:t>发言人1 答：在年报中，普通产品的毛利率电子部为31%，其中薄布24%，超薄布31%，后部6%，极薄53%，特殊26%。而高性能产品的综合毛利率为61%，低阶电是57%，跌了CP低热膨胀系数是73%。一季报显示，无论是高性能产品还是普通产品，毛利率都比年报持续上升，主要原因在于价格上升及产品结构优化。二季度后，公司将继续努力优化产能结构，以保持业绩和毛利率持续上升的趋势。</w:t>
      </w:r>
    </w:p>
    <w:p>
      <w:r>
        <w:rPr>
          <w:rFonts w:ascii="等线(中文正文)" w:hAnsi="等线(中文正文)" w:cs="等线(中文正文)" w:eastAsia="等线(中文正文)"/>
          <w:b w:val="false"/>
          <w:i w:val="false"/>
          <w:sz w:val="20"/>
        </w:rPr>
        <w:t/>
      </w:r>
    </w:p>
    <w:p>
      <w:pPr>
        <w:pStyle w:val="ab"/>
      </w:pPr>
      <w:r>
        <w:t>发言人1 问：后续几个季度的出货量节奏是什么样的？</w:t>
      </w:r>
    </w:p>
    <w:p>
      <w:r>
        <w:rPr>
          <w:rFonts w:ascii="等线(中文正文)" w:hAnsi="等线(中文正文)" w:cs="等线(中文正文)" w:eastAsia="等线(中文正文)"/>
          <w:b w:val="false"/>
          <w:i w:val="false"/>
          <w:sz w:val="20"/>
        </w:rPr>
        <w:t>发言人1 答：出货量将依据客户订单来布局产线，预计二季度可能会比一季度稍微多一点，但不会提前预估具体数量，因为完全按照客户订单来安排生产。目前所达到的100万片出货量是基于去年已有的客户订单逐步扩产的结果。</w:t>
      </w:r>
    </w:p>
    <w:p>
      <w:r>
        <w:rPr>
          <w:rFonts w:ascii="等线(中文正文)" w:hAnsi="等线(中文正文)" w:cs="等线(中文正文)" w:eastAsia="等线(中文正文)"/>
          <w:b w:val="false"/>
          <w:i w:val="false"/>
          <w:sz w:val="20"/>
        </w:rPr>
        <w:t/>
      </w:r>
    </w:p>
    <w:p>
      <w:pPr>
        <w:pStyle w:val="ab"/>
      </w:pPr>
      <w:r>
        <w:t>发言人1 问：织机设备的交付计划及后续几个季度的产量预计是怎样的？</w:t>
      </w:r>
    </w:p>
    <w:p>
      <w:r>
        <w:rPr>
          <w:rFonts w:ascii="等线(中文正文)" w:hAnsi="等线(中文正文)" w:cs="等线(中文正文)" w:eastAsia="等线(中文正文)"/>
          <w:b w:val="false"/>
          <w:i w:val="false"/>
          <w:sz w:val="20"/>
        </w:rPr>
        <w:t>发言人1 答：年底会有设备进场，后续几个季度会有分季度的交付计划，关于整体直接产量和台数的具体数据以及型号信息需要进一步提供。</w:t>
      </w:r>
    </w:p>
    <w:p>
      <w:r>
        <w:rPr>
          <w:rFonts w:ascii="等线(中文正文)" w:hAnsi="等线(中文正文)" w:cs="等线(中文正文)" w:eastAsia="等线(中文正文)"/>
          <w:b w:val="false"/>
          <w:i w:val="false"/>
          <w:sz w:val="20"/>
        </w:rPr>
        <w:t/>
      </w:r>
    </w:p>
    <w:p>
      <w:pPr>
        <w:pStyle w:val="ab"/>
      </w:pPr>
      <w:r>
        <w:t>发言人1 问：织布机的情况如何，产能是否已确定？</w:t>
      </w:r>
    </w:p>
    <w:p>
      <w:r>
        <w:rPr>
          <w:rFonts w:ascii="等线(中文正文)" w:hAnsi="等线(中文正文)" w:cs="等线(中文正文)" w:eastAsia="等线(中文正文)"/>
          <w:b w:val="false"/>
          <w:i w:val="false"/>
          <w:sz w:val="20"/>
        </w:rPr>
        <w:t>发言人1 答：织布机的产能已基本确定，我们目前拥有直播间一千多台，分布在三个工厂。今年年初会有一批设备交付，年底厂房建好后还会有新的一批到位。新增设备主要是基于对下游市场需求的观察和分析。</w:t>
      </w:r>
    </w:p>
    <w:p>
      <w:r>
        <w:rPr>
          <w:rFonts w:ascii="等线(中文正文)" w:hAnsi="等线(中文正文)" w:cs="等线(中文正文)" w:eastAsia="等线(中文正文)"/>
          <w:b w:val="false"/>
          <w:i w:val="false"/>
          <w:sz w:val="20"/>
        </w:rPr>
        <w:t/>
      </w:r>
    </w:p>
    <w:p>
      <w:pPr>
        <w:pStyle w:val="ab"/>
      </w:pPr>
      <w:r>
        <w:t>发言人1 问：现有的1200多台设备能否满足生产高性能产品的需要？</w:t>
      </w:r>
    </w:p>
    <w:p>
      <w:r>
        <w:rPr>
          <w:rFonts w:ascii="等线(中文正文)" w:hAnsi="等线(中文正文)" w:cs="等线(中文正文)" w:eastAsia="等线(中文正文)"/>
          <w:b w:val="false"/>
          <w:i w:val="false"/>
          <w:sz w:val="20"/>
        </w:rPr>
        <w:t>发言人1 答：目前的设备结构优化后，能够确保高性能产品的生产需求。对于毛利率较低的产品，我们暂时不会接单。未来新增的设备将围绕高端产品，如超薄、极薄以及高性能产品进行制造和覆盖。</w:t>
      </w:r>
    </w:p>
    <w:p>
      <w:r>
        <w:rPr>
          <w:rFonts w:ascii="等线(中文正文)" w:hAnsi="等线(中文正文)" w:cs="等线(中文正文)" w:eastAsia="等线(中文正文)"/>
          <w:b w:val="false"/>
          <w:i w:val="false"/>
          <w:sz w:val="20"/>
        </w:rPr>
        <w:t/>
      </w:r>
    </w:p>
    <w:p>
      <w:pPr>
        <w:pStyle w:val="ab"/>
      </w:pPr>
      <w:r>
        <w:t>发言人1 问：年底是否会有一批新设备到位，大概多少台？</w:t>
      </w:r>
    </w:p>
    <w:p>
      <w:r>
        <w:rPr>
          <w:rFonts w:ascii="等线(中文正文)" w:hAnsi="等线(中文正文)" w:cs="等线(中文正文)" w:eastAsia="等线(中文正文)"/>
          <w:b w:val="false"/>
          <w:i w:val="false"/>
          <w:sz w:val="20"/>
        </w:rPr>
        <w:t>发言人1 答：年底可能会有一批几百台规模的新设备到货，具体数量还未确定。由于行业内的定制化布局竞争激烈，但与某直播间供应商签订了战略合作协议，能够以最快的速度响应并交付所需设备。</w:t>
      </w:r>
    </w:p>
    <w:p>
      <w:r>
        <w:rPr>
          <w:rFonts w:ascii="等线(中文正文)" w:hAnsi="等线(中文正文)" w:cs="等线(中文正文)" w:eastAsia="等线(中文正文)"/>
          <w:b w:val="false"/>
          <w:i w:val="false"/>
          <w:sz w:val="20"/>
        </w:rPr>
        <w:t/>
      </w:r>
    </w:p>
    <w:p>
      <w:pPr>
        <w:pStyle w:val="ab"/>
      </w:pPr>
      <w:r>
        <w:t>发言人1 问：关于80亿资本开支的执行计划是怎样的？</w:t>
      </w:r>
    </w:p>
    <w:p>
      <w:r>
        <w:rPr>
          <w:rFonts w:ascii="等线(中文正文)" w:hAnsi="等线(中文正文)" w:cs="等线(中文正文)" w:eastAsia="等线(中文正文)"/>
          <w:b w:val="false"/>
          <w:i w:val="false"/>
          <w:sz w:val="20"/>
        </w:rPr>
        <w:t>发言人1 答：我们维持公司一贯节奏，不会提前扩产然后等待客户订单。而是先拿到客户的订单再进行扩展生产。目前看到的是全方位的需求增长，包括高性能产品和普通产品。我们已与黄石政府签署战略合作协议，并将根据终端客户的需求节奏逐步释放产能，预计今年到2027年会分期分批按客户需求释放订单规模。</w:t>
      </w:r>
    </w:p>
    <w:p>
      <w:r>
        <w:rPr>
          <w:rFonts w:ascii="等线(中文正文)" w:hAnsi="等线(中文正文)" w:cs="等线(中文正文)" w:eastAsia="等线(中文正文)"/>
          <w:b w:val="false"/>
          <w:i w:val="false"/>
          <w:sz w:val="20"/>
        </w:rPr>
        <w:t/>
      </w:r>
    </w:p>
    <w:p>
      <w:pPr>
        <w:pStyle w:val="ab"/>
      </w:pPr>
      <w:r>
        <w:t>发言人1 问：价格方面，如何看待现有产品价格的上涨趋势以及未来调整幅度？</w:t>
      </w:r>
    </w:p>
    <w:p>
      <w:r>
        <w:rPr>
          <w:rFonts w:ascii="等线(中文正文)" w:hAnsi="等线(中文正文)" w:cs="等线(中文正文)" w:eastAsia="等线(中文正文)"/>
          <w:b w:val="false"/>
          <w:i w:val="false"/>
          <w:sz w:val="20"/>
        </w:rPr>
        <w:t>发言人1 答：从毛利率角度看，我们追求毛利率持续上升，通常在成本和毛利率稳定时不会涨价。然而，由于当前需求远超产能，同行业也在涨价，我们也可能会跟涨。目前来看，扩量仍较慢，预计到2027年才能有较大提升。从长远来看，新手段的价格仍会维持向上的趋势，尤其是高性能产品的价格因技术壁垒较高，上涨幅度可能更大。总体而言，今年无论是量还是价格，都应会保持上升趋势。</w:t>
      </w:r>
    </w:p>
    <w:p>
      <w:r>
        <w:rPr>
          <w:rFonts w:ascii="等线(中文正文)" w:hAnsi="等线(中文正文)" w:cs="等线(中文正文)" w:eastAsia="等线(中文正文)"/>
          <w:b w:val="false"/>
          <w:i w:val="false"/>
          <w:sz w:val="20"/>
        </w:rPr>
        <w:t/>
      </w:r>
    </w:p>
    <w:p>
      <w:pPr>
        <w:pStyle w:val="ab"/>
      </w:pPr>
      <w:r>
        <w:t>发言人1 问：在服务器和消费电子领域，我们的产品价格或毛利率有何差异？</w:t>
      </w:r>
    </w:p>
    <w:p>
      <w:r>
        <w:rPr>
          <w:rFonts w:ascii="等线(中文正文)" w:hAnsi="等线(中文正文)" w:cs="等线(中文正文)" w:eastAsia="等线(中文正文)"/>
          <w:b w:val="false"/>
          <w:i w:val="false"/>
          <w:sz w:val="20"/>
        </w:rPr>
        <w:t>发言人1 答：我们的综合毛利率在服务器和消费电子领域大致相同，主要取决于成本价。虽然产品规格有所差异，但是一季度采用的是相同成本价来定价，毛利率大约在七成左右，无论应用于哪个领域基本保持一致。</w:t>
      </w:r>
    </w:p>
    <w:p>
      <w:r>
        <w:rPr>
          <w:rFonts w:ascii="等线(中文正文)" w:hAnsi="等线(中文正文)" w:cs="等线(中文正文)" w:eastAsia="等线(中文正文)"/>
          <w:b w:val="false"/>
          <w:i w:val="false"/>
          <w:sz w:val="20"/>
        </w:rPr>
        <w:t/>
      </w:r>
    </w:p>
    <w:p>
      <w:pPr>
        <w:pStyle w:val="ab"/>
      </w:pPr>
      <w:r>
        <w:t>发言人1 问：服务器和消费电子中的芯片封装有何不同之处？</w:t>
      </w:r>
    </w:p>
    <w:p>
      <w:r>
        <w:rPr>
          <w:rFonts w:ascii="等线(中文正文)" w:hAnsi="等线(中文正文)" w:cs="等线(中文正文)" w:eastAsia="等线(中文正文)"/>
          <w:b w:val="false"/>
          <w:i w:val="false"/>
          <w:sz w:val="20"/>
        </w:rPr>
        <w:t>发言人1 答：服务器芯片封装通常会做得更大、更厚，而消费类电子如智能手机、便携式产品的芯片封装则偏向于超薄、极薄、轻薄设计。这是因为较厚的封装可以更快完成且更容易制作，因此服务器封装的价格相对较低；而消费类电子封装因需满足轻薄短小的要求，工艺难度较高，所以单价较高。</w:t>
      </w:r>
    </w:p>
    <w:p>
      <w:r>
        <w:rPr>
          <w:rFonts w:ascii="等线(中文正文)" w:hAnsi="等线(中文正文)" w:cs="等线(中文正文)" w:eastAsia="等线(中文正文)"/>
          <w:b w:val="false"/>
          <w:i w:val="false"/>
          <w:sz w:val="20"/>
        </w:rPr>
        <w:t/>
      </w:r>
    </w:p>
    <w:p>
      <w:pPr>
        <w:pStyle w:val="ab"/>
      </w:pPr>
      <w:r>
        <w:t>发言人1 问：目前是否有下游客户在与我们进行合作方面的进展可以分享？</w:t>
      </w:r>
    </w:p>
    <w:p>
      <w:r>
        <w:rPr>
          <w:rFonts w:ascii="等线(中文正文)" w:hAnsi="等线(中文正文)" w:cs="等线(中文正文)" w:eastAsia="等线(中文正文)"/>
          <w:b w:val="false"/>
          <w:i w:val="false"/>
          <w:sz w:val="20"/>
        </w:rPr>
        <w:t>发言人1 答：本轮算力需求增长后，终端客户开始直接跳过渠道商直接来找我们下单，比如英特尔、MD、闪迪等。这主要是因为他们无法从渠道商那里获取高性能产品。我们正在积极与这些终端客户对接，并根据他们的产能计划和产品布局进行合作布局。</w:t>
      </w:r>
    </w:p>
    <w:p>
      <w:r>
        <w:rPr>
          <w:rFonts w:ascii="等线(中文正文)" w:hAnsi="等线(中文正文)" w:cs="等线(中文正文)" w:eastAsia="等线(中文正文)"/>
          <w:b w:val="false"/>
          <w:i w:val="false"/>
          <w:sz w:val="20"/>
        </w:rPr>
        <w:t/>
      </w:r>
    </w:p>
    <w:p>
      <w:pPr>
        <w:pStyle w:val="ab"/>
      </w:pPr>
      <w:r>
        <w:t>发言人1 问：终端客户直接找我们下单是否意味着公司有更多的合作机会？</w:t>
      </w:r>
    </w:p>
    <w:p>
      <w:r>
        <w:rPr>
          <w:rFonts w:ascii="等线(中文正文)" w:hAnsi="等线(中文正文)" w:cs="等线(中文正文)" w:eastAsia="等线(中文正文)"/>
          <w:b w:val="false"/>
          <w:i w:val="false"/>
          <w:sz w:val="20"/>
        </w:rPr>
        <w:t>发言人1 答：是的，这种直接合作模式可能带来更多机会。例如，在研发和技术支持方面，随着与终端客户的紧密合作，我们在供应链管理上可能会有更多合作点。以H公司为例，之前由于芯片受阻问题，其研发中心的技术人员开始与我们的技术人员进行深入交流和合作，寻求通过PCB技术升级解决芯片问题，这预示着未来的更多可能性。</w:t>
      </w:r>
    </w:p>
    <w:p>
      <w:r>
        <w:rPr>
          <w:rFonts w:ascii="等线(中文正文)" w:hAnsi="等线(中文正文)" w:cs="等线(中文正文)" w:eastAsia="等线(中文正文)"/>
          <w:b w:val="false"/>
          <w:i w:val="false"/>
          <w:sz w:val="20"/>
        </w:rPr>
        <w:t/>
      </w:r>
    </w:p>
    <w:p>
      <w:pPr>
        <w:pStyle w:val="ab"/>
      </w:pPr>
      <w:r>
        <w:t>发言人1 问：我们公司是否与H公司及国内其他客户进行直接的技术对接工作，以及这种对接的优势是什么？</w:t>
      </w:r>
    </w:p>
    <w:p>
      <w:r>
        <w:rPr>
          <w:rFonts w:ascii="等线(中文正文)" w:hAnsi="等线(中文正文)" w:cs="等线(中文正文)" w:eastAsia="等线(中文正文)"/>
          <w:b w:val="false"/>
          <w:i w:val="false"/>
          <w:sz w:val="20"/>
        </w:rPr>
        <w:t>发言人1 答：是的，我们公司不仅与H公司，还与国内众多客户进行直接的技术对接。由于地理位置相近，合作起来更加顺畅、便捷，能够更好地响应客户需求。大部分CCO厂和PCB厂商都在国内，这种先天性的环境使得双方互动更为高效，技术人员可以快速响应并了解他们所需产品，从而实现最快的技术对接。</w:t>
      </w:r>
    </w:p>
    <w:p>
      <w:r>
        <w:rPr>
          <w:rFonts w:ascii="等线(中文正文)" w:hAnsi="等线(中文正文)" w:cs="等线(中文正文)" w:eastAsia="等线(中文正文)"/>
          <w:b w:val="false"/>
          <w:i w:val="false"/>
          <w:sz w:val="20"/>
        </w:rPr>
        <w:t/>
      </w:r>
    </w:p>
    <w:p>
      <w:pPr>
        <w:pStyle w:val="ab"/>
      </w:pPr>
      <w:r>
        <w:t>发言人1 问：关于Q步的战略布局和规划情况能否分享一下？</w:t>
      </w:r>
    </w:p>
    <w:p>
      <w:r>
        <w:rPr>
          <w:rFonts w:ascii="等线(中文正文)" w:hAnsi="等线(中文正文)" w:cs="等线(中文正文)" w:eastAsia="等线(中文正文)"/>
          <w:b w:val="false"/>
          <w:i w:val="false"/>
          <w:sz w:val="20"/>
        </w:rPr>
        <w:t>发言人1 答：我们在石英电子部的发展上比同行业更快更早，早在2015年至2016年就开始与日本客户合作此领域。Q步供应商布局规划方面，我们有三家国内供应商负责提供Q砂供应，确保供应链安全稳定，并且这些供应商都是军工企业，规模和技术优势明显。目前，Q步的良率在经过多轮验证及认证后已达到80%至90%的水平，随着客户订单量增加，良率还会进一步提升。</w:t>
      </w:r>
    </w:p>
    <w:p>
      <w:r>
        <w:rPr>
          <w:rFonts w:ascii="等线(中文正文)" w:hAnsi="等线(中文正文)" w:cs="等线(中文正文)" w:eastAsia="等线(中文正文)"/>
          <w:b w:val="false"/>
          <w:i w:val="false"/>
          <w:sz w:val="20"/>
        </w:rPr>
        <w:t/>
      </w:r>
    </w:p>
    <w:p>
      <w:pPr>
        <w:pStyle w:val="ab"/>
      </w:pPr>
      <w:r>
        <w:t>发言人1 问：对于Q步的良率情况及其对毛利率的影响有多大？</w:t>
      </w:r>
    </w:p>
    <w:p>
      <w:r>
        <w:rPr>
          <w:rFonts w:ascii="等线(中文正文)" w:hAnsi="等线(中文正文)" w:cs="等线(中文正文)" w:eastAsia="等线(中文正文)"/>
          <w:b w:val="false"/>
          <w:i w:val="false"/>
          <w:sz w:val="20"/>
        </w:rPr>
        <w:t>发言人1 答：Q步的良率在行业内较为领先，随着良率的逐步提高，产品毛利率也会继续上升。对于具体提升一个或几个百分点对应毛利率的影响幅度，我们进行了测算，但未给出明确数字。此外，公司在三线产品的良率上也在努力提升，尽管目前不如热度法成熟，但仍将持续优化产品质量稳定性，确保客户交付满足后逐步提高良率，从而降低生产成本，提高毛利率。</w:t>
      </w:r>
    </w:p>
    <w:p>
      <w:r>
        <w:rPr>
          <w:rFonts w:ascii="等线(中文正文)" w:hAnsi="等线(中文正文)" w:cs="等线(中文正文)" w:eastAsia="等线(中文正文)"/>
          <w:b w:val="false"/>
          <w:i w:val="false"/>
          <w:sz w:val="20"/>
        </w:rPr>
        <w:t/>
      </w:r>
    </w:p>
    <w:p>
      <w:pPr>
        <w:pStyle w:val="ab"/>
      </w:pPr>
      <w:r>
        <w:t>发言人1 问：新一代产品及下一代产品的技术储备情况如何？</w:t>
      </w:r>
    </w:p>
    <w:p>
      <w:r>
        <w:rPr>
          <w:rFonts w:ascii="等线(中文正文)" w:hAnsi="等线(中文正文)" w:cs="等线(中文正文)" w:eastAsia="等线(中文正文)"/>
          <w:b w:val="false"/>
          <w:i w:val="false"/>
          <w:sz w:val="20"/>
        </w:rPr>
        <w:t>发言人1 答：公司不仅在交付现有高性能产品，还在持续研发下一代产品和技术储备。例如，正在研发热膨胀系数更低（如2.8以下）的新一代T Blast产品以及更低介电常数（如4.2左右）的低介电产品。同时，也在与Q杀公司接洽，优化Q步性能。总体而言，公司围绕客户课题展开研发，致力于提供更高端的产品解决方案。</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2026-05-07T23:39:16Z</dcterms:created>
  <dc:creator>Apache POI</dc:creator>
</cp:coreProperties>
</file>