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中邮证券_5月十大金股 260506_导读</w:t>
      </w:r>
    </w:p>
    <w:p>
      <w:pPr>
        <w:pStyle w:val="a0"/>
        <w:jc w:val="center"/>
      </w:pPr>
      <w:r>
        <w:t>2026年05月07日 09:37</w:t>
      </w:r>
    </w:p>
    <w:p>
      <w:pPr>
        <w:pStyle w:val="a7"/>
      </w:pPr>
      <w:r>
        <w:t>关键词</w:t>
      </w:r>
    </w:p>
    <w:p>
      <w:r>
        <w:rPr>
          <w:rFonts w:ascii="等线(中文正文)" w:hAnsi="等线(中文正文)" w:cs="等线(中文正文)" w:eastAsia="等线(中文正文)"/>
          <w:b w:val="false"/>
          <w:i w:val="false"/>
          <w:sz w:val="20"/>
        </w:rPr>
        <w:t xml:space="preserve">政府控股 利润 套保比例 固废回收 设备业务 水电设备 抽水蓄能 核电 华龙一号 四代核电 亚夏工程 聚碳酸酯 双酚A 苯酚 丙酮 环氧丙烷 电解液 中国巨石 AI 电子部 </w:t>
      </w:r>
    </w:p>
    <w:p>
      <w:r>
        <w:rPr>
          <w:rFonts w:ascii="等线(中文正文)" w:hAnsi="等线(中文正文)" w:cs="等线(中文正文)" w:eastAsia="等线(中文正文)"/>
          <w:b w:val="false"/>
          <w:i w:val="false"/>
          <w:sz w:val="20"/>
        </w:rPr>
        <w:t/>
      </w:r>
    </w:p>
    <w:p>
      <w:pPr>
        <w:pStyle w:val="a7"/>
      </w:pPr>
      <w:r>
        <w:t>章节速览</w:t>
      </w:r>
    </w:p>
    <w:p>
      <w:pPr>
        <w:pStyle w:val="a7"/>
      </w:pPr>
      <w:r>
        <w:t>发言总结</w:t>
      </w:r>
    </w:p>
    <w:p>
      <w:pPr>
        <w:pStyle w:val="ab"/>
        <w:numPr>
          <w:numId w:val="1"/>
        </w:numPr>
      </w:pPr>
      <w:r>
        <w:t>发言人1</w:t>
      </w:r>
    </w:p>
    <w:p>
      <w:r>
        <w:rPr>
          <w:rFonts w:ascii="等线(中文正文)" w:hAnsi="等线(中文正文)" w:cs="等线(中文正文)" w:eastAsia="等线(中文正文)"/>
          <w:b w:val="false"/>
          <w:i w:val="false"/>
          <w:sz w:val="20"/>
        </w:rPr>
        <w:t>他主持的会议主要聚焦于中邮证券研究所为客户提供的一次电话会议。会议内容强调仅供客户参考，不构成直接投资建议，投资者需独立做出决策并自行承担风险。他特别指出，中邮证券不承担因使用会议内容导致的任何损失责任，并严格禁止未经书面许可的会议内容复制、刊载、转载等行为，违者将依法追究法律责任。
会议主要推荐了5月的十大金股，包括中油新能源、中原化工、中国巨石等公司，他逐一介绍了这些公司的亮点、业务发展情况及投资逻辑，同时也强调了市场风险，鼓励投资者谨慎投资。此外，会议还涵盖了多个领域的行业趋势，如新能源、化工、建筑建材、汽车和有色金属等，讨论了公司产品创新、市场需求及政策支持情况，为投资者提供了全面的市场分析和投资建议。</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问：政府控股的投资逻辑有哪些新的变化？</w:t>
      </w:r>
    </w:p>
    <w:p>
      <w:r>
        <w:rPr>
          <w:rFonts w:ascii="等线(中文正文)" w:hAnsi="等线(中文正文)" w:cs="等线(中文正文)" w:eastAsia="等线(中文正文)"/>
          <w:b w:val="false"/>
          <w:i w:val="false"/>
          <w:sz w:val="20"/>
        </w:rPr>
        <w:t>发言人1 答：政府控股在金股推荐中表现亮眼，Q1利润为六个多亿，同比去年同期的2.7亿有显著提升。这一增长主要源于主业——固废回收套保比例的减少，从原先的80%多下降至40%甚至更低。此外，设备业务方面，特别是抽水蓄能和核电投资进度超预期，预计今年核准数量可能达到12台以上，且公司作为国内少数能从事抽水蓄能和核电业务的企业之一，将从中受益。</w:t>
      </w:r>
    </w:p>
    <w:p>
      <w:r>
        <w:rPr>
          <w:rFonts w:ascii="等线(中文正文)" w:hAnsi="等线(中文正文)" w:cs="等线(中文正文)" w:eastAsia="等线(中文正文)"/>
          <w:b w:val="false"/>
          <w:i w:val="false"/>
          <w:sz w:val="20"/>
        </w:rPr>
        <w:t/>
      </w:r>
    </w:p>
    <w:p>
      <w:pPr>
        <w:pStyle w:val="ab"/>
      </w:pPr>
      <w:r>
        <w:t>发言人1 问：政府控股在核岛业务上的贡献是什么？对于政府控股的价值贡献有哪些关键点？</w:t>
      </w:r>
    </w:p>
    <w:p>
      <w:r>
        <w:rPr>
          <w:rFonts w:ascii="等线(中文正文)" w:hAnsi="等线(中文正文)" w:cs="等线(中文正文)" w:eastAsia="等线(中文正文)"/>
          <w:b w:val="false"/>
          <w:i w:val="false"/>
          <w:sz w:val="20"/>
        </w:rPr>
        <w:t>发言人1 答：政府控股在华东公司的核岛关键部件控制方驱动机构供应方面占据独家地位，为华龙一号提供综合供应，市场占有率在三代核电机组中超过70%。同时，公司还提供了四代钠冷却堆形主泵及聚变屏蔽偏滤器等核心设备。政府控股在核岛设备供应中占据重要地位，尤其是在三代和四代核电项目中，其产品被广泛应用。此外，其水电设备业务也呈现超预期发展，未来还有亚夏工程等项目支撑业绩增长。主业超预期回暖进一步提高了公司的安全边际。</w:t>
      </w:r>
    </w:p>
    <w:p>
      <w:r>
        <w:rPr>
          <w:rFonts w:ascii="等线(中文正文)" w:hAnsi="等线(中文正文)" w:cs="等线(中文正文)" w:eastAsia="等线(中文正文)"/>
          <w:b w:val="false"/>
          <w:i w:val="false"/>
          <w:sz w:val="20"/>
        </w:rPr>
        <w:t/>
      </w:r>
    </w:p>
    <w:p>
      <w:pPr>
        <w:pStyle w:val="ab"/>
      </w:pPr>
      <w:r>
        <w:t>发言人1 问：关于五月份推荐的金股五元股份的情况如何？</w:t>
      </w:r>
    </w:p>
    <w:p>
      <w:r>
        <w:rPr>
          <w:rFonts w:ascii="等线(中文正文)" w:hAnsi="等线(中文正文)" w:cs="等线(中文正文)" w:eastAsia="等线(中文正文)"/>
          <w:b w:val="false"/>
          <w:i w:val="false"/>
          <w:sz w:val="20"/>
        </w:rPr>
        <w:t>发言人1 答：五元股份是我们长期看好的一只股票，拥有聚碳酸酯PC产业链和环氧丙烯-电解液产业链两条重要主线。今年这两个产业链均面临供需平衡修复的重大拐点，且公司在一季度已展现出业绩回暖的趋势。尤其是聚碳酸酯产业链，经过前几年的快速扩产，目前行业增速明显放缓，开工率上升，预示着未来几年将进入景气周期。</w:t>
      </w:r>
    </w:p>
    <w:p>
      <w:r>
        <w:rPr>
          <w:rFonts w:ascii="等线(中文正文)" w:hAnsi="等线(中文正文)" w:cs="等线(中文正文)" w:eastAsia="等线(中文正文)"/>
          <w:b w:val="false"/>
          <w:i w:val="false"/>
          <w:sz w:val="20"/>
        </w:rPr>
        <w:t/>
      </w:r>
    </w:p>
    <w:p>
      <w:pPr>
        <w:pStyle w:val="ab"/>
      </w:pPr>
      <w:r>
        <w:t>发言人1 问：在PC产业链上，为什么认为价格和盈利会有进一步上行的空间？公司另一条产业链——丙烯、环氧丙烷、电解液溶剂的运营状况如何？</w:t>
      </w:r>
    </w:p>
    <w:p>
      <w:r>
        <w:rPr>
          <w:rFonts w:ascii="等线(中文正文)" w:hAnsi="等线(中文正文)" w:cs="等线(中文正文)" w:eastAsia="等线(中文正文)"/>
          <w:b w:val="false"/>
          <w:i w:val="false"/>
          <w:sz w:val="20"/>
        </w:rPr>
        <w:t>发言人1 答：虽然近期受到中东局势的影响，导致价格有所上涨，但当前价格相比历史高点及中枢价格仍处于低位。预计PC将带动相关配套产品公司生产上行，并有望实现大幅度的盈利增速，回到10到15个亿的盈利区间。特别是五月份，行业第二大生产企业将进行三年一次的大检修，这将对供给端产生巨大扰动，催化价格和供给平衡的明显变化。这条产业链上的重要装置已基本投产，但开工率目前较低，约为60%-70%。不过，公司在产品认证方面取得进展，与宁德时代等头部客户的产品认证工作预计在接下来的5到6月份会取得明显进展，这使得该产业链有望在二季度开始扭亏为盈，贡献可观盈利。</w:t>
      </w:r>
    </w:p>
    <w:p>
      <w:r>
        <w:rPr>
          <w:rFonts w:ascii="等线(中文正文)" w:hAnsi="等线(中文正文)" w:cs="等线(中文正文)" w:eastAsia="等线(中文正文)"/>
          <w:b w:val="false"/>
          <w:i w:val="false"/>
          <w:sz w:val="20"/>
        </w:rPr>
        <w:t/>
      </w:r>
    </w:p>
    <w:p>
      <w:pPr>
        <w:pStyle w:val="ab"/>
      </w:pPr>
      <w:r>
        <w:t>发言人1 问：对于中国巨石这家公司的盈利预期是怎样的？</w:t>
      </w:r>
    </w:p>
    <w:p>
      <w:r>
        <w:rPr>
          <w:rFonts w:ascii="等线(中文正文)" w:hAnsi="等线(中文正文)" w:cs="等线(中文正文)" w:eastAsia="等线(中文正文)"/>
          <w:b w:val="false"/>
          <w:i w:val="false"/>
          <w:sz w:val="20"/>
        </w:rPr>
        <w:t>发言人1 答：在中国巨石这条产业链上，由于AI浪潮下电子玻纤需求爆发性增长，而供给端受限于织布机和电子纱的技术瓶颈，导致供需结构呈现明显的供不应求状况。从去年10月份以来，电子玻纤价格持续上涨，目前涨幅已超过百分之六七十，且涨价趋势尚未结束。新产能的顺利消化以及产业链库存低位持续下降，使得行业的供需缺口进一步扩大。预计2026年和2027年电子玻纤价格将维持高位，甚至可能涨至十块钱以上，对应中国巨石的年化利润可能达到100亿以上，给予其2000亿市值的估值，认为其在AI浪潮下具备一定成长股属性。</w:t>
      </w:r>
    </w:p>
    <w:p>
      <w:r>
        <w:rPr>
          <w:rFonts w:ascii="等线(中文正文)" w:hAnsi="等线(中文正文)" w:cs="等线(中文正文)" w:eastAsia="等线(中文正文)"/>
          <w:b w:val="false"/>
          <w:i w:val="false"/>
          <w:sz w:val="20"/>
        </w:rPr>
        <w:t/>
      </w:r>
    </w:p>
    <w:p>
      <w:pPr>
        <w:pStyle w:val="ab"/>
      </w:pPr>
      <w:r>
        <w:t>发言人1 问：点金装备所处行业的情况如何？</w:t>
      </w:r>
    </w:p>
    <w:p>
      <w:r>
        <w:rPr>
          <w:rFonts w:ascii="等线(中文正文)" w:hAnsi="等线(中文正文)" w:cs="等线(中文正文)" w:eastAsia="等线(中文正文)"/>
          <w:b w:val="false"/>
          <w:i w:val="false"/>
          <w:sz w:val="20"/>
        </w:rPr>
        <w:t>发言人1 答：点金装备的核心领域是矿业和锂电材料行业，这两个行业的资本开支正在上升，整个行业处于景气周期的向上阶段。去年四季度，整个行业的业绩见底，今年一季度环比改善，并预计未来几个季度将持续向好。公司在一季度进行了调价，幅度超过10%，有效覆盖了原材料上涨成本，显示出良好的经营韧性和成长潜力。</w:t>
      </w:r>
    </w:p>
    <w:p>
      <w:r>
        <w:rPr>
          <w:rFonts w:ascii="等线(中文正文)" w:hAnsi="等线(中文正文)" w:cs="等线(中文正文)" w:eastAsia="等线(中文正文)"/>
          <w:b w:val="false"/>
          <w:i w:val="false"/>
          <w:sz w:val="20"/>
        </w:rPr>
        <w:t/>
      </w:r>
    </w:p>
    <w:p>
      <w:pPr>
        <w:pStyle w:val="ab"/>
      </w:pPr>
      <w:r>
        <w:t>发言人1 问：这家公司作为压力机行业的龙头，在市场份额和行业贝塔相关性方面表现如何？</w:t>
      </w:r>
    </w:p>
    <w:p>
      <w:r>
        <w:rPr>
          <w:rFonts w:ascii="等线(中文正文)" w:hAnsi="等线(中文正文)" w:cs="等线(中文正文)" w:eastAsia="等线(中文正文)"/>
          <w:b w:val="false"/>
          <w:i w:val="false"/>
          <w:sz w:val="20"/>
        </w:rPr>
        <w:t>发言人1 答：公司在国内市场的市占率已接近50%，行业贝塔相关性较强。过去几年，随着锂电材料价格低迷，资本开支意愿普遍较弱，但随着锂电材料价格回暖和龙头企业业绩向好，资本开支逐渐增加，且整个行业的产能利用率也已接近满产，行业开支确定性较强。</w:t>
      </w:r>
    </w:p>
    <w:p>
      <w:r>
        <w:rPr>
          <w:rFonts w:ascii="等线(中文正文)" w:hAnsi="等线(中文正文)" w:cs="等线(中文正文)" w:eastAsia="等线(中文正文)"/>
          <w:b w:val="false"/>
          <w:i w:val="false"/>
          <w:sz w:val="20"/>
        </w:rPr>
        <w:t/>
      </w:r>
    </w:p>
    <w:p>
      <w:pPr>
        <w:pStyle w:val="ab"/>
      </w:pPr>
      <w:r>
        <w:t>发言人1 问：对于公司未来几年的业绩展望是什么样的？</w:t>
      </w:r>
    </w:p>
    <w:p>
      <w:r>
        <w:rPr>
          <w:rFonts w:ascii="等线(中文正文)" w:hAnsi="等线(中文正文)" w:cs="等线(中文正文)" w:eastAsia="等线(中文正文)"/>
          <w:b w:val="false"/>
          <w:i w:val="false"/>
          <w:sz w:val="20"/>
        </w:rPr>
        <w:t>发言人1 答：预计今年二季度公司的收入业绩将出现持续改善，三季度增速会更加亮眼。整个行业周期底部位置已经过去，公司现金状况良好，并且有望实现约四个多点的股息。在26-28年期间，公司利润大概率会呈现上升趋势，甚至有可能超过十个亿。</w:t>
      </w:r>
    </w:p>
    <w:p>
      <w:r>
        <w:rPr>
          <w:rFonts w:ascii="等线(中文正文)" w:hAnsi="等线(中文正文)" w:cs="等线(中文正文)" w:eastAsia="等线(中文正文)"/>
          <w:b w:val="false"/>
          <w:i w:val="false"/>
          <w:sz w:val="20"/>
        </w:rPr>
        <w:t/>
      </w:r>
    </w:p>
    <w:p>
      <w:pPr>
        <w:pStyle w:val="ab"/>
      </w:pPr>
      <w:r>
        <w:t>发言人1 问：该公司未来几年各个下游领域的增长情况如何？</w:t>
      </w:r>
    </w:p>
    <w:p>
      <w:r>
        <w:rPr>
          <w:rFonts w:ascii="等线(中文正文)" w:hAnsi="等线(中文正文)" w:cs="等线(中文正文)" w:eastAsia="等线(中文正文)"/>
          <w:b w:val="false"/>
          <w:i w:val="false"/>
          <w:sz w:val="20"/>
        </w:rPr>
        <w:t>发言人1 答：未来几年，矿山领域预计能维持约10%的增长；环保领域则呈现平稳态势；新能源领域弹性较大，预计需求会大幅增长，保守估计其收入占比会恢复到接近20%的水平。</w:t>
      </w:r>
    </w:p>
    <w:p>
      <w:r>
        <w:rPr>
          <w:rFonts w:ascii="等线(中文正文)" w:hAnsi="等线(中文正文)" w:cs="等线(中文正文)" w:eastAsia="等线(中文正文)"/>
          <w:b w:val="false"/>
          <w:i w:val="false"/>
          <w:sz w:val="20"/>
        </w:rPr>
        <w:t/>
      </w:r>
    </w:p>
    <w:p>
      <w:pPr>
        <w:pStyle w:val="ab"/>
      </w:pPr>
      <w:r>
        <w:t>发言人1 问：公司在市场上的竞争优势体现在哪些方面？</w:t>
      </w:r>
    </w:p>
    <w:p>
      <w:r>
        <w:rPr>
          <w:rFonts w:ascii="等线(中文正文)" w:hAnsi="等线(中文正文)" w:cs="等线(中文正文)" w:eastAsia="等线(中文正文)"/>
          <w:b w:val="false"/>
          <w:i w:val="false"/>
          <w:sz w:val="20"/>
        </w:rPr>
        <w:t>发言人1 答：公司在矿山领域的行业地位稳固，尽管产品价格相对较高，但通过优质的售后服务网络和高质量的产品质量来弥补现金流溢价。相较于国内竞品，公司的付款要求和现金流管理更为严格，并且与海外竞品相比，其隔膜压力机性价比突出，综合来看，公司非常重视经营质量和可持续发展。</w:t>
      </w:r>
    </w:p>
    <w:p>
      <w:r>
        <w:rPr>
          <w:rFonts w:ascii="等线(中文正文)" w:hAnsi="等线(中文正文)" w:cs="等线(中文正文)" w:eastAsia="等线(中文正文)"/>
          <w:b w:val="false"/>
          <w:i w:val="false"/>
          <w:sz w:val="20"/>
        </w:rPr>
        <w:t/>
      </w:r>
    </w:p>
    <w:p>
      <w:pPr>
        <w:pStyle w:val="ab"/>
      </w:pPr>
      <w:r>
        <w:t>发言人1 问：新乳业板块今年有哪些复苏迹象？</w:t>
      </w:r>
    </w:p>
    <w:p>
      <w:r>
        <w:rPr>
          <w:rFonts w:ascii="等线(中文正文)" w:hAnsi="等线(中文正文)" w:cs="等线(中文正文)" w:eastAsia="等线(中文正文)"/>
          <w:b w:val="false"/>
          <w:i w:val="false"/>
          <w:sz w:val="20"/>
        </w:rPr>
        <w:t>发言人1 答：新乳业板块今年呈现出明显的复苏迹象，从整个乳制品板块来看，尽管25年收入有所下降，但在26年一季度实现了中个位数的增长。其中，常温液奶和奶酪制品恢复增长是板块收入改善的主要驱动力，而新乳业在今年一季度收入增长超预期，达到高个位数。此外，新乳业净利率的提升，包括毛利率和资产减值等方面的改善也是值得关注的看点。</w:t>
      </w:r>
    </w:p>
    <w:p>
      <w:r>
        <w:rPr>
          <w:rFonts w:ascii="等线(中文正文)" w:hAnsi="等线(中文正文)" w:cs="等线(中文正文)" w:eastAsia="等线(中文正文)"/>
          <w:b w:val="false"/>
          <w:i w:val="false"/>
          <w:sz w:val="20"/>
        </w:rPr>
        <w:t/>
      </w:r>
    </w:p>
    <w:p>
      <w:pPr>
        <w:pStyle w:val="ab"/>
      </w:pPr>
      <w:r>
        <w:t>发言人1 问：同牛信息近期最重要的催化事件是什么？数据集团对同牛信息的影响有哪些具体表现？</w:t>
      </w:r>
    </w:p>
    <w:p>
      <w:r>
        <w:rPr>
          <w:rFonts w:ascii="等线(中文正文)" w:hAnsi="等线(中文正文)" w:cs="等线(中文正文)" w:eastAsia="等线(中文正文)"/>
          <w:b w:val="false"/>
          <w:i w:val="false"/>
          <w:sz w:val="20"/>
        </w:rPr>
        <w:t>发言人1 答：同牛信息近期最重要的催化事件是控股股东由北京时尚控股变更为北京数据集团，这一变更提升了公司在北京市算力布局中的战略地位，并且新股东会带来资金、客户资源和项目获取方面的支持。数据集团作为控股股东，能够为同牛提供更强的政府资源和业务支撑，解决公司在密云云计算项目上的资金问题，并帮助其更容易获取能耗指标等稀缺资源。同时，原有的大股东时尚控股仍持有一定股份，可以协调利用土地资源储备新的数据中心项目。</w:t>
      </w:r>
    </w:p>
    <w:p>
      <w:r>
        <w:rPr>
          <w:rFonts w:ascii="等线(中文正文)" w:hAnsi="等线(中文正文)" w:cs="等线(中文正文)" w:eastAsia="等线(中文正文)"/>
          <w:b w:val="false"/>
          <w:i w:val="false"/>
          <w:sz w:val="20"/>
        </w:rPr>
        <w:t/>
      </w:r>
    </w:p>
    <w:p>
      <w:pPr>
        <w:pStyle w:val="ab"/>
      </w:pPr>
      <w:r>
        <w:t>发言人1 问：同牛信息未来的增长点主要来自哪里？</w:t>
      </w:r>
    </w:p>
    <w:p>
      <w:r>
        <w:rPr>
          <w:rFonts w:ascii="等线(中文正文)" w:hAnsi="等线(中文正文)" w:cs="等线(中文正文)" w:eastAsia="等线(中文正文)"/>
          <w:b w:val="false"/>
          <w:i w:val="false"/>
          <w:sz w:val="20"/>
        </w:rPr>
        <w:t>发言人1 答：同牛信息未来的增量主要来源于密云计算中心项目，该项目规划了6000到7000个机柜，是北京市的重点工程，周边新建有变电站，电力供应充足。目前项目已进入电力引入阶段，预计一年内可交付使用，将成为公司近两年的核心增长点。</w:t>
      </w:r>
    </w:p>
    <w:p>
      <w:r>
        <w:rPr>
          <w:rFonts w:ascii="等线(中文正文)" w:hAnsi="等线(中文正文)" w:cs="等线(中文正文)" w:eastAsia="等线(中文正文)"/>
          <w:b w:val="false"/>
          <w:i w:val="false"/>
          <w:sz w:val="20"/>
        </w:rPr>
        <w:t/>
      </w:r>
    </w:p>
    <w:p>
      <w:pPr>
        <w:pStyle w:val="ab"/>
      </w:pPr>
      <w:r>
        <w:t>发言人1 问：目前同牛信息的业务现状如何？</w:t>
      </w:r>
    </w:p>
    <w:p>
      <w:r>
        <w:rPr>
          <w:rFonts w:ascii="等线(中文正文)" w:hAnsi="等线(中文正文)" w:cs="等线(中文正文)" w:eastAsia="等线(中文正文)"/>
          <w:b w:val="false"/>
          <w:i w:val="false"/>
          <w:sz w:val="20"/>
        </w:rPr>
        <w:t>发言人1 答：目前同牛信息在北京核心地段拥有三个机房，保有约两千多个传统IDC机柜，主要服务于中小型客户，客户类型较为分散，拥有70%多的商家率，年收入约为1.5亿左右。</w:t>
      </w:r>
    </w:p>
    <w:p>
      <w:r>
        <w:rPr>
          <w:rFonts w:ascii="等线(中文正文)" w:hAnsi="等线(中文正文)" w:cs="等线(中文正文)" w:eastAsia="等线(中文正文)"/>
          <w:b w:val="false"/>
          <w:i w:val="false"/>
          <w:sz w:val="20"/>
        </w:rPr>
        <w:t/>
      </w:r>
    </w:p>
    <w:p>
      <w:pPr>
        <w:pStyle w:val="ab"/>
      </w:pPr>
      <w:r>
        <w:t>发言人1 问：长远来看，同牛信息在昌平、顺义等地有何发展规划？</w:t>
      </w:r>
    </w:p>
    <w:p>
      <w:r>
        <w:rPr>
          <w:rFonts w:ascii="等线(中文正文)" w:hAnsi="等线(中文正文)" w:cs="等线(中文正文)" w:eastAsia="等线(中文正文)"/>
          <w:b w:val="false"/>
          <w:i w:val="false"/>
          <w:sz w:val="20"/>
        </w:rPr>
        <w:t>发言人1 答：长远规划中，密云项目落地后，同牛信息还将启动昌平、顺义等地的新项目，利用大股东时尚控股在当地成熟的园区资源，预计每个项目能达到120到150兆瓦的水平，整体三个地方的计算中心建设完成后的水平将达到约420兆瓦。</w:t>
      </w:r>
    </w:p>
    <w:p>
      <w:r>
        <w:rPr>
          <w:rFonts w:ascii="等线(中文正文)" w:hAnsi="等线(中文正文)" w:cs="等线(中文正文)" w:eastAsia="等线(中文正文)"/>
          <w:b w:val="false"/>
          <w:i w:val="false"/>
          <w:sz w:val="20"/>
        </w:rPr>
        <w:t/>
      </w:r>
    </w:p>
    <w:p>
      <w:pPr>
        <w:pStyle w:val="ab"/>
      </w:pPr>
      <w:r>
        <w:t>发言人1 问：在当前算力被视为战略资源的背景下，同牛信息的发展方向是什么？</w:t>
      </w:r>
    </w:p>
    <w:p>
      <w:r>
        <w:rPr>
          <w:rFonts w:ascii="等线(中文正文)" w:hAnsi="等线(中文正文)" w:cs="等线(中文正文)" w:eastAsia="等线(中文正文)"/>
          <w:b w:val="false"/>
          <w:i w:val="false"/>
          <w:sz w:val="20"/>
        </w:rPr>
        <w:t>发言人1 答：同牛信息作为北京数据集团选定的企业，正在从传统的IDC向AIDC升级，随着密云项目的逐步交付，公司有望开启新一轮的成长周期。</w:t>
      </w:r>
    </w:p>
    <w:p>
      <w:r>
        <w:rPr>
          <w:rFonts w:ascii="等线(中文正文)" w:hAnsi="等线(中文正文)" w:cs="等线(中文正文)" w:eastAsia="等线(中文正文)"/>
          <w:b w:val="false"/>
          <w:i w:val="false"/>
          <w:sz w:val="20"/>
        </w:rPr>
        <w:t/>
      </w:r>
    </w:p>
    <w:p>
      <w:pPr>
        <w:pStyle w:val="ab"/>
      </w:pPr>
      <w:r>
        <w:t>发言人1 问：劲仔食品在2023年及2024年Q4至2026年Q1期间的表现如何？</w:t>
      </w:r>
    </w:p>
    <w:p>
      <w:r>
        <w:rPr>
          <w:rFonts w:ascii="等线(中文正文)" w:hAnsi="等线(中文正文)" w:cs="等线(中文正文)" w:eastAsia="等线(中文正文)"/>
          <w:b w:val="false"/>
          <w:i w:val="false"/>
          <w:sz w:val="20"/>
        </w:rPr>
        <w:t>发言人1 答：劲仔食品在2023年经历了战略调整，2024年Q4至2026年Q1期间，公司业绩企稳回升，尤其是收入端有明显改善。这得益于行业性缓慢修复以及公司在产品和渠道上的调整优化，传统流通渠道保持稳定增长，同时临时量贩渠道表现出强劲的增长势头，对整体收入提升起到显著带动作用。此外，会员制商超渠道的新产品预期有望在今年落地，为公司带来新的增量。从产品角度看，公司以大单品为主，小鱼产品占比超过一半，也对业绩有所贡献。</w:t>
      </w:r>
    </w:p>
    <w:p>
      <w:r>
        <w:rPr>
          <w:rFonts w:ascii="等线(中文正文)" w:hAnsi="等线(中文正文)" w:cs="等线(中文正文)" w:eastAsia="等线(中文正文)"/>
          <w:b w:val="false"/>
          <w:i w:val="false"/>
          <w:sz w:val="20"/>
        </w:rPr>
        <w:t/>
      </w:r>
    </w:p>
    <w:p>
      <w:pPr>
        <w:pStyle w:val="ab"/>
      </w:pPr>
      <w:r>
        <w:t>发言人1 问：公司新品类的销售情况如何？</w:t>
      </w:r>
    </w:p>
    <w:p>
      <w:r>
        <w:rPr>
          <w:rFonts w:ascii="等线(中文正文)" w:hAnsi="等线(中文正文)" w:cs="等线(中文正文)" w:eastAsia="等线(中文正文)"/>
          <w:b w:val="false"/>
          <w:i w:val="false"/>
          <w:sz w:val="20"/>
        </w:rPr>
        <w:t>发言人1 答：公司的新品类，如肉干和豆干，在量贩渠道等新智能渠道上表现非常不错，为公司整体产品和渠道增长提供了动力。</w:t>
      </w:r>
    </w:p>
    <w:p>
      <w:r>
        <w:rPr>
          <w:rFonts w:ascii="等线(中文正文)" w:hAnsi="等线(中文正文)" w:cs="等线(中文正文)" w:eastAsia="等线(中文正文)"/>
          <w:b w:val="false"/>
          <w:i w:val="false"/>
          <w:sz w:val="20"/>
        </w:rPr>
        <w:t/>
      </w:r>
    </w:p>
    <w:p>
      <w:pPr>
        <w:pStyle w:val="ab"/>
      </w:pPr>
      <w:r>
        <w:t>发言人1 问：公司对于今年全年收入预期持怎样的态度？</w:t>
      </w:r>
    </w:p>
    <w:p>
      <w:r>
        <w:rPr>
          <w:rFonts w:ascii="等线(中文正文)" w:hAnsi="等线(中文正文)" w:cs="等线(中文正文)" w:eastAsia="等线(中文正文)"/>
          <w:b w:val="false"/>
          <w:i w:val="false"/>
          <w:sz w:val="20"/>
        </w:rPr>
        <w:t>发言人1 答：公司对今年全年收入预期相对乐观，基于行业性以及公司自身的双向带动效应，预计会有明显的增长。</w:t>
      </w:r>
    </w:p>
    <w:p>
      <w:r>
        <w:rPr>
          <w:rFonts w:ascii="等线(中文正文)" w:hAnsi="等线(中文正文)" w:cs="等线(中文正文)" w:eastAsia="等线(中文正文)"/>
          <w:b w:val="false"/>
          <w:i w:val="false"/>
          <w:sz w:val="20"/>
        </w:rPr>
        <w:t/>
      </w:r>
    </w:p>
    <w:p>
      <w:pPr>
        <w:pStyle w:val="ab"/>
      </w:pPr>
      <w:r>
        <w:t>发言人1 问：十元股份的一季度业绩表现如何？</w:t>
      </w:r>
    </w:p>
    <w:p>
      <w:r>
        <w:rPr>
          <w:rFonts w:ascii="等线(中文正文)" w:hAnsi="等线(中文正文)" w:cs="等线(中文正文)" w:eastAsia="等线(中文正文)"/>
          <w:b w:val="false"/>
          <w:i w:val="false"/>
          <w:sz w:val="20"/>
        </w:rPr>
        <w:t>发言人1 答：十元股份一季度业绩超预期，营收约62亿，同比增长约24%；净利润2.47亿，同比增长52.45%；扣费后大致1.9亿，同比增长接近82.5%，毛利率和归母净利润率分别达到20.75%和3.98%，整体收入和利润端呈现良好势头。</w:t>
      </w:r>
    </w:p>
    <w:p>
      <w:r>
        <w:rPr>
          <w:rFonts w:ascii="等线(中文正文)" w:hAnsi="等线(中文正文)" w:cs="等线(中文正文)" w:eastAsia="等线(中文正文)"/>
          <w:b w:val="false"/>
          <w:i w:val="false"/>
          <w:sz w:val="20"/>
        </w:rPr>
        <w:t/>
      </w:r>
    </w:p>
    <w:p>
      <w:pPr>
        <w:pStyle w:val="ab"/>
      </w:pPr>
      <w:r>
        <w:t>发言人1 问：十元股份的具体业务增长情况怎样？</w:t>
      </w:r>
    </w:p>
    <w:p>
      <w:r>
        <w:rPr>
          <w:rFonts w:ascii="等线(中文正文)" w:hAnsi="等线(中文正文)" w:cs="等线(中文正文)" w:eastAsia="等线(中文正文)"/>
          <w:b w:val="false"/>
          <w:i w:val="false"/>
          <w:sz w:val="20"/>
        </w:rPr>
        <w:t>发言人1 答：十元股份的板卡业务受益于存储涨价和战略性存货，盈利能力持续修复并向上提升；企业服务业务恢复高速增长，国内外业务均有增长，音视频业务及放量等贡献增加。机器人业务指引为1亿，各块业务均呈现向上趋势，并发布了新的股权激励计划，对未来收入扩张充满信心。</w:t>
      </w:r>
    </w:p>
    <w:p>
      <w:r>
        <w:rPr>
          <w:rFonts w:ascii="等线(中文正文)" w:hAnsi="等线(中文正文)" w:cs="等线(中文正文)" w:eastAsia="等线(中文正文)"/>
          <w:b w:val="false"/>
          <w:i w:val="false"/>
          <w:sz w:val="20"/>
        </w:rPr>
        <w:t/>
      </w:r>
    </w:p>
    <w:p>
      <w:pPr>
        <w:pStyle w:val="ab"/>
      </w:pPr>
      <w:r>
        <w:t>发言人1 问：对于金融股份的推荐逻辑是什么？金融股份的阿凡达车轮产品有何特点？</w:t>
      </w:r>
    </w:p>
    <w:p>
      <w:r>
        <w:rPr>
          <w:rFonts w:ascii="等线(中文正文)" w:hAnsi="等线(中文正文)" w:cs="等线(中文正文)" w:eastAsia="等线(中文正文)"/>
          <w:b w:val="false"/>
          <w:i w:val="false"/>
          <w:sz w:val="20"/>
        </w:rPr>
        <w:t>发言人1 答：金融股份是车轮行业材料革命的龙头，其独家的低碳车轮材料实现以钢代铝突破，目前正处于密集部署、产量释放以及材料横向拓展的三重共振时期，业绩和估值提升确定性强。阿凡达车轮采用高强钢制作，相比传统钢轮轻20%到30%，能有效降低新能源汽车重量并提升续航能力；强度高，抗攻击、抗形变，故障率低，同时具备良好的经济性和环保性，符合市场需求。</w:t>
      </w:r>
    </w:p>
    <w:p>
      <w:r>
        <w:rPr>
          <w:rFonts w:ascii="等线(中文正文)" w:hAnsi="等线(中文正文)" w:cs="等线(中文正文)" w:eastAsia="等线(中文正文)"/>
          <w:b w:val="false"/>
          <w:i w:val="false"/>
          <w:sz w:val="20"/>
        </w:rPr>
        <w:t/>
      </w:r>
    </w:p>
    <w:p>
      <w:pPr>
        <w:pStyle w:val="ab"/>
      </w:pPr>
      <w:r>
        <w:t>发言人1 问：金融股份在材料横向应用方面有哪些进展？</w:t>
      </w:r>
    </w:p>
    <w:p>
      <w:r>
        <w:rPr>
          <w:rFonts w:ascii="等线(中文正文)" w:hAnsi="等线(中文正文)" w:cs="等线(中文正文)" w:eastAsia="等线(中文正文)"/>
          <w:b w:val="false"/>
          <w:i w:val="false"/>
          <w:sz w:val="20"/>
        </w:rPr>
        <w:t>发言人1 答：金融股份已突破单一车轮业务，汽车领域可渗透到底盘、副车架、保险杠等轻量化零部件，同时在机器人和两轮车等新兴领域与多家企业达成合作，提供样件并获得认可。</w:t>
      </w:r>
    </w:p>
    <w:p>
      <w:r>
        <w:rPr>
          <w:rFonts w:ascii="等线(中文正文)" w:hAnsi="等线(中文正文)" w:cs="等线(中文正文)" w:eastAsia="等线(中文正文)"/>
          <w:b w:val="false"/>
          <w:i w:val="false"/>
          <w:sz w:val="20"/>
        </w:rPr>
        <w:t/>
      </w:r>
    </w:p>
    <w:p>
      <w:pPr>
        <w:pStyle w:val="ab"/>
      </w:pPr>
      <w:r>
        <w:t>发言人1 问：天气锂业为何被推荐为金股？</w:t>
      </w:r>
    </w:p>
    <w:p>
      <w:r>
        <w:rPr>
          <w:rFonts w:ascii="等线(中文正文)" w:hAnsi="等线(中文正文)" w:cs="等线(中文正文)" w:eastAsia="等线(中文正文)"/>
          <w:b w:val="false"/>
          <w:i w:val="false"/>
          <w:sz w:val="20"/>
        </w:rPr>
        <w:t>发言人1 答：天气锂业一季度业绩实现较大增长，主要原因包括产能扩张、新增投资收益以及铝价回升等。储能领域的经济效益提升，欧美储能经济性上升，且公司估值较低，具备较高的估值修复价值和稳增长潜力。</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num w:numId="1">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2026-05-07T01:38:34Z</dcterms:created>
  <dc:creator>Apache POI</dc:creator>
</cp:coreProperties>
</file>