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东吴环保公用 - 从绿色动力说开去：AI赋能对垃圾发电行业经营效率的影响分析 260506_导读</w:t>
      </w:r>
    </w:p>
    <w:p>
      <w:pPr>
        <w:pStyle w:val="a0"/>
        <w:jc w:val="center"/>
      </w:pPr>
      <w:r>
        <w:t>2026年05月06日 22:08</w:t>
      </w:r>
    </w:p>
    <w:p>
      <w:pPr>
        <w:pStyle w:val="a7"/>
      </w:pPr>
      <w:r>
        <w:t>关键词</w:t>
      </w:r>
    </w:p>
    <w:p>
      <w:r>
        <w:rPr>
          <w:rFonts w:ascii="等线(中文正文)" w:hAnsi="等线(中文正文)" w:cs="等线(中文正文)" w:eastAsia="等线(中文正文)"/>
          <w:b w:val="false"/>
          <w:i w:val="false"/>
          <w:sz w:val="20"/>
        </w:rPr>
        <w:t xml:space="preserve">垃圾发电 AI赋能 绿色动力 港股股息率 ROE提升 供热增长 炉渣提价 自由现金流 分红潜力 智能巡检 环保耗材 上网电量 集采降本 运营提效 垃圾焚烧 长江电力 瀚蓝环境 永新股份 财务费用 投资逻辑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探讨垃圾发电行业前景时，投资者与分析师聚焦于AI技术对该领域提效与增长的潜力贡献。分析师指出，垃圾发电板块展现攻守兼备特性，尤其在AI赋能下，如绿色动力集团等公司展现出运营效率与环保效益的显著提升。讨论还涵盖了板块内其他企业的增长表现，以及垃圾发电板块的股息率、成长性和估值潜力。此外，国际市场扩张与出海策略被视作提升业绩的重要途径。总体而言，对话强调了技术进步与国际拓展为垃圾发电行业带来的成长机遇与投资价值。</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AI赋能下的垃圾发电：双位数增长与高股息率的攻守兼备</w:t>
      </w:r>
    </w:p>
    <w:p>
      <w:r>
        <w:rPr>
          <w:rFonts w:ascii="等线(中文正文)" w:hAnsi="等线(中文正文)" w:cs="等线(中文正文)" w:eastAsia="等线(中文正文)"/>
          <w:b w:val="false"/>
          <w:i w:val="false"/>
          <w:sz w:val="20"/>
        </w:rPr>
        <w:t>对话强调了垃圾发电行业在AI赋能下展现出的双位数增长潜力，以及接近6%的高股息率和可持续的ROE提升空间。通过分析绿色动力等公司数据，指出行业不仅有防御性，还具备进攻性，如供热项目盈利翻倍弹性、收入端增厚和成本侧提效空间。行业成长性被市场低估，未来5年预期年化增速超10%，现金流和分红能力将显著提升，整体板块值得重点关注。</w:t>
      </w:r>
    </w:p>
    <w:p>
      <w:r>
        <w:rPr>
          <w:rFonts w:ascii="等线(中文正文)" w:hAnsi="等线(中文正文)" w:cs="等线(中文正文)" w:eastAsia="等线(中文正文)"/>
          <w:b w:val="false"/>
          <w:i w:val="false"/>
          <w:sz w:val="20"/>
        </w:rPr>
        <w:t/>
      </w:r>
    </w:p>
    <w:p>
      <w:pPr>
        <w:pStyle w:val="ab"/>
        <w:numPr>
          <w:numId w:val="2"/>
        </w:numPr>
      </w:pPr>
      <w:r>
        <w:t>04:47 AI赋能垃圾焚烧：提升效率与环保效益</w:t>
      </w:r>
    </w:p>
    <w:p>
      <w:r>
        <w:rPr>
          <w:rFonts w:ascii="等线(中文正文)" w:hAnsi="等线(中文正文)" w:cs="等线(中文正文)" w:eastAsia="等线(中文正文)"/>
          <w:b w:val="false"/>
          <w:i w:val="false"/>
          <w:sz w:val="20"/>
        </w:rPr>
        <w:t>对话讨论了通过深化合作与阿里云和固高科技，运用AI技术显著提升垃圾焚烧效率和环保效益的案例，包括自动投入率、炉膛温度稳定性、上网电量等关键指标的提升，以及环保耗材消耗量的降低。这些成果将在未来五年内推广至更多项目，实现更广泛的经济效益和环保效益提升。</w:t>
      </w:r>
    </w:p>
    <w:p>
      <w:r>
        <w:rPr>
          <w:rFonts w:ascii="等线(中文正文)" w:hAnsi="等线(中文正文)" w:cs="等线(中文正文)" w:eastAsia="等线(中文正文)"/>
          <w:b w:val="false"/>
          <w:i w:val="false"/>
          <w:sz w:val="20"/>
        </w:rPr>
        <w:t/>
      </w:r>
    </w:p>
    <w:p>
      <w:pPr>
        <w:pStyle w:val="ab"/>
        <w:numPr>
          <w:numId w:val="3"/>
        </w:numPr>
      </w:pPr>
      <w:r>
        <w:t>09:00 AI技术助力公司提升盈利弹性</w:t>
      </w:r>
    </w:p>
    <w:p>
      <w:r>
        <w:rPr>
          <w:rFonts w:ascii="等线(中文正文)" w:hAnsi="等线(中文正文)" w:cs="等线(中文正文)" w:eastAsia="等线(中文正文)"/>
          <w:b w:val="false"/>
          <w:i w:val="false"/>
          <w:sz w:val="20"/>
        </w:rPr>
        <w:t>对话围绕AI技术在公司项目中的应用展开，通过提升上网电量和降低环保耗材成本，预计2025年可实现税前利润增加1.14亿元，占总利润的14%。具体措施包括上网电量提升4.5%增收约7900万元，环保耗材成本降低15%节省约3580万元，均基于北京和武汉项目的实际数据外推至公司所有项目。</w:t>
      </w:r>
    </w:p>
    <w:p>
      <w:r>
        <w:rPr>
          <w:rFonts w:ascii="等线(中文正文)" w:hAnsi="等线(中文正文)" w:cs="等线(中文正文)" w:eastAsia="等线(中文正文)"/>
          <w:b w:val="false"/>
          <w:i w:val="false"/>
          <w:sz w:val="20"/>
        </w:rPr>
        <w:t/>
      </w:r>
    </w:p>
    <w:p>
      <w:pPr>
        <w:pStyle w:val="ab"/>
        <w:numPr>
          <w:numId w:val="4"/>
        </w:numPr>
      </w:pPr>
      <w:r>
        <w:t>11:23 AI赋能垃圾焚烧提效，绿色动力展现投资价值</w:t>
      </w:r>
    </w:p>
    <w:p>
      <w:r>
        <w:rPr>
          <w:rFonts w:ascii="等线(中文正文)" w:hAnsi="等线(中文正文)" w:cs="等线(中文正文)" w:eastAsia="等线(中文正文)"/>
          <w:b w:val="false"/>
          <w:i w:val="false"/>
          <w:sz w:val="20"/>
        </w:rPr>
        <w:t>通过与阿里云等企业合作，汉兰等公司在垃圾焚烧行业引入AI技术，显著提升了运营效率，包括自动投运率、焚烧稳定性及成本节约。绿色动力作为行业典范，即使在无产能增长情况下，也实现了业绩与ROE的双位数增长，展现出AI技术在环保领域的广泛应用前景与投资价值。</w:t>
      </w:r>
    </w:p>
    <w:p>
      <w:r>
        <w:rPr>
          <w:rFonts w:ascii="等线(中文正文)" w:hAnsi="等线(中文正文)" w:cs="等线(中文正文)" w:eastAsia="等线(中文正文)"/>
          <w:b w:val="false"/>
          <w:i w:val="false"/>
          <w:sz w:val="20"/>
        </w:rPr>
        <w:t/>
      </w:r>
    </w:p>
    <w:p>
      <w:pPr>
        <w:pStyle w:val="ab"/>
        <w:numPr>
          <w:numId w:val="5"/>
        </w:numPr>
      </w:pPr>
      <w:r>
        <w:t>14:13 绿色动力业绩与分红潜力双提升</w:t>
      </w:r>
    </w:p>
    <w:p>
      <w:r>
        <w:rPr>
          <w:rFonts w:ascii="等线(中文正文)" w:hAnsi="等线(中文正文)" w:cs="等线(中文正文)" w:eastAsia="等线(中文正文)"/>
          <w:b w:val="false"/>
          <w:i w:val="false"/>
          <w:sz w:val="20"/>
        </w:rPr>
        <w:t>绿色动力预计2026年供热量将持续增长，带动业绩和ROD提升。2025年自由现金流增厚，支撑高分红，每股派息提升至0.32元，港股股息率5.8%，A股接近4%。测算显示，2025年分红潜力达195%，风控提升空间大，公司保持推荐。</w:t>
      </w:r>
    </w:p>
    <w:p>
      <w:r>
        <w:rPr>
          <w:rFonts w:ascii="等线(中文正文)" w:hAnsi="等线(中文正文)" w:cs="等线(中文正文)" w:eastAsia="等线(中文正文)"/>
          <w:b w:val="false"/>
          <w:i w:val="false"/>
          <w:sz w:val="20"/>
        </w:rPr>
        <w:t/>
      </w:r>
    </w:p>
    <w:p>
      <w:pPr>
        <w:pStyle w:val="ab"/>
        <w:numPr>
          <w:numId w:val="6"/>
        </w:numPr>
      </w:pPr>
      <w:r>
        <w:t>17:12 垃圾焚烧板块增长潜力与多方面提升策略</w:t>
      </w:r>
    </w:p>
    <w:p>
      <w:r>
        <w:rPr>
          <w:rFonts w:ascii="等线(中文正文)" w:hAnsi="等线(中文正文)" w:cs="等线(中文正文)" w:eastAsia="等线(中文正文)"/>
          <w:b w:val="false"/>
          <w:i w:val="false"/>
          <w:sz w:val="20"/>
        </w:rPr>
        <w:t>垃圾焚烧板块不仅拥有稳定的红利属性，更展现出显著的成长潜力。增长来源包括收入to b进化、清洁能源价值评估、金属资源增值叠加双碳潜力、AI赋能提升增发水平、供热加速、炉渣提价及算电协同合作等。25年八家全国性垃圾焚烧公司平均蒸发量和上网电量提升，供热加速带来利润弹性，炉渣提价提升盈利，算电协同合作有望进一步提升收益，摆脱对国股依赖。</w:t>
      </w:r>
    </w:p>
    <w:p>
      <w:r>
        <w:rPr>
          <w:rFonts w:ascii="等线(中文正文)" w:hAnsi="等线(中文正文)" w:cs="等线(中文正文)" w:eastAsia="等线(中文正文)"/>
          <w:b w:val="false"/>
          <w:i w:val="false"/>
          <w:sz w:val="20"/>
        </w:rPr>
        <w:t/>
      </w:r>
    </w:p>
    <w:p>
      <w:pPr>
        <w:pStyle w:val="ab"/>
        <w:numPr>
          <w:numId w:val="7"/>
        </w:numPr>
      </w:pPr>
      <w:r>
        <w:t>21:34 垃圾焚烧行业：toB进化与海外市场拓展</w:t>
      </w:r>
    </w:p>
    <w:p>
      <w:r>
        <w:rPr>
          <w:rFonts w:ascii="等线(中文正文)" w:hAnsi="等线(中文正文)" w:cs="等线(中文正文)" w:eastAsia="等线(中文正文)"/>
          <w:b w:val="false"/>
          <w:i w:val="false"/>
          <w:sz w:val="20"/>
        </w:rPr>
        <w:t>垃圾焚烧板块通过提升蒸发效率、加速货款回收及资本开支下降，实现了现金流价值的显著增长，自由现金流同比提升78%，分红比例提高至45%。同时，行业正向toB模式转型，推动估值上升。海外市场如东南亚需求释放，中国企业在海外项目中标率高，展现出强劲竞争力，为未来成长开辟新路径。推荐关注汉南环境、永兴股份等企业，以及文明环保等积极拓展海外市场的公司。</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在本次会议中重点介绍了AI技术在垃圾发电领域的最新进展及其对板块增长的积极支撑作用。他以绿色动力与阿里云合作的案例为例，量化分析了AI如何显著提升垃圾发电项目的经济效益、环保性能和运营效率。AI不仅增强了发电效率和环保效果，还通过降低成本、提高上网电量和减少环保耗材消耗，为公司带来了明显的盈利弹性。此外，他还分享了绿色动力及其他公司在国内外市场的业绩增长情况，强调了精细化管理和技术创新在实现可持续增长中的关键作用。最后，他建议关注垃圾焚烧板块，包括汉南环境、永兴股份等公司，并指出海外拓展对公司增长具有潜在贡献。</w:t>
      </w:r>
    </w:p>
    <w:p>
      <w:r>
        <w:rPr>
          <w:rFonts w:ascii="等线(中文正文)" w:hAnsi="等线(中文正文)" w:cs="等线(中文正文)" w:eastAsia="等线(中文正文)"/>
          <w:b w:val="false"/>
          <w:i w:val="false"/>
          <w:sz w:val="20"/>
        </w:rPr>
        <w:t/>
      </w:r>
    </w:p>
    <w:p>
      <w:pPr>
        <w:pStyle w:val="a7"/>
      </w:pPr>
      <w:r>
        <w:t>要点回顾</w:t>
      </w:r>
    </w:p>
    <w:p>
      <w:pPr>
        <w:pStyle w:val="ab"/>
      </w:pPr>
      <w:r>
        <w:t>AI赋能相关的第一个系列研究主要聚焦了哪些内容？</w:t>
      </w:r>
    </w:p>
    <w:p>
      <w:r>
        <w:rPr>
          <w:rFonts w:ascii="等线(中文正文)" w:hAnsi="等线(中文正文)" w:cs="等线(中文正文)" w:eastAsia="等线(中文正文)"/>
          <w:b w:val="false"/>
          <w:i w:val="false"/>
          <w:sz w:val="20"/>
        </w:rPr>
        <w:t>发言人1：系列研究主要针对绿色动力及其与阿里云合作后的子公司数据进行量化分析，结论显示垃圾发电项目在AI赋能下的引力有双位数的弹性支撑。此外，特别强调了绿色动力等公司高股息率、复合增速快且不消耗资本开支增长的特点，以及板块在2025年年报和2026年一季报中体现的持续韧性的增长态势。</w:t>
      </w:r>
    </w:p>
    <w:p>
      <w:r>
        <w:rPr>
          <w:rFonts w:ascii="等线(中文正文)" w:hAnsi="等线(中文正文)" w:cs="等线(中文正文)" w:eastAsia="等线(中文正文)"/>
          <w:b w:val="false"/>
          <w:i w:val="false"/>
          <w:sz w:val="20"/>
        </w:rPr>
        <w:t/>
      </w:r>
    </w:p>
    <w:p>
      <w:pPr>
        <w:pStyle w:val="ab"/>
      </w:pPr>
      <w:r>
        <w:t>在绿色动力等公司中，AI赋能具体是如何提升运营效率和增加收入的？AI赋能对垃圾发电板块有哪些积极影响？</w:t>
      </w:r>
    </w:p>
    <w:p>
      <w:r>
        <w:rPr>
          <w:rFonts w:ascii="等线(中文正文)" w:hAnsi="等线(中文正文)" w:cs="等线(中文正文)" w:eastAsia="等线(中文正文)"/>
          <w:b w:val="false"/>
          <w:i w:val="false"/>
          <w:sz w:val="20"/>
        </w:rPr>
        <w:t>发言人1：绿色动力与阿里云深化合作，通过AI技术对垃圾焚烧全过程进行大数据分析和人工智能管理，实现了精准预测、智能控制、稳定运行及高效燃烧的目标。在北京项目上，应用该技术后环保排放稳定性大幅提升，经济效益显著提升，自动投入率达到95%以上，炉膛温度稳定性提升33%，锅炉产蒸汽量增加接近6%，厂区用电率降低9.9%，上网电量同比提升4.5%。在武汉项目上，自动投入率高达98%以上，上网电量提升4.05%，发电量增长4%，且实现了能源利用效率大幅提升以及环保耗材和垃圾石灰消耗量降低超过15%。AI赋能如算电一体化、炉渣涨价、绿色蒸汽价值等多方面因素，可以使得垃圾发电在收入端持续增厚，并且由于其重资产低淘汰类电力资产的特点，成本侧具有明显优势且有持续提效空间。这使得垃圾发电具备极强的确定性和进攻性，预计单个项目的盈利弹性可达翻倍，并有望在未来几年内将整个板块的ROE稳定而快速地从当前的12%提升至15%至20%。</w:t>
      </w:r>
    </w:p>
    <w:p>
      <w:r>
        <w:rPr>
          <w:rFonts w:ascii="等线(中文正文)" w:hAnsi="等线(中文正文)" w:cs="等线(中文正文)" w:eastAsia="等线(中文正文)"/>
          <w:b w:val="false"/>
          <w:i w:val="false"/>
          <w:sz w:val="20"/>
        </w:rPr>
        <w:t/>
      </w:r>
    </w:p>
    <w:p>
      <w:pPr>
        <w:pStyle w:val="ab"/>
      </w:pPr>
      <w:r>
        <w:t>对于垃圾发电板块的成长属性，市场目前是如何看待的？</w:t>
      </w:r>
    </w:p>
    <w:p>
      <w:r>
        <w:rPr>
          <w:rFonts w:ascii="等线(中文正文)" w:hAnsi="等线(中文正文)" w:cs="等线(中文正文)" w:eastAsia="等线(中文正文)"/>
          <w:b w:val="false"/>
          <w:i w:val="false"/>
          <w:sz w:val="20"/>
        </w:rPr>
        <w:t>发言人1：市场普遍低估了垃圾发电的成长属性。尽管部分公司股息率较高，但它们依然展现出强劲的成长性和进攻性。以瀚蓝环境、永新股份和绿色动力为例，即使在高基数情况下仍能实现双位数增长，展现出独立于横向扩张之外的内生成长韧性。我们判断在“十五五”期间，整个板块的成长弹性将呈现大双位数增长，年化增速可能超过10个点，同时现金流也将带来分红能力翻倍的提升空间。</w:t>
      </w:r>
    </w:p>
    <w:p>
      <w:r>
        <w:rPr>
          <w:rFonts w:ascii="等线(中文正文)" w:hAnsi="等线(中文正文)" w:cs="等线(中文正文)" w:eastAsia="等线(中文正文)"/>
          <w:b w:val="false"/>
          <w:i w:val="false"/>
          <w:sz w:val="20"/>
        </w:rPr>
        <w:t/>
      </w:r>
    </w:p>
    <w:p>
      <w:pPr>
        <w:pStyle w:val="ab"/>
      </w:pPr>
      <w:r>
        <w:t>在提升上网电量和降低环保耗材消耗方面，公司能实现多大的经济效益？</w:t>
      </w:r>
    </w:p>
    <w:p>
      <w:r>
        <w:rPr>
          <w:rFonts w:ascii="等线(中文正文)" w:hAnsi="等线(中文正文)" w:cs="等线(中文正文)" w:eastAsia="等线(中文正文)"/>
          <w:b w:val="false"/>
          <w:i w:val="false"/>
          <w:sz w:val="20"/>
        </w:rPr>
        <w:t>发言人1：如果将公司所有项目上网电量都提升4.5%，并降低15%的环保耗材量，这将带来两方面的经济收益。首先，通过提升上网电量增收，以绿色动力25年的上网电量43.591度为基础，按0.4元每度的燃煤标杆均价计算，可增收约7900万元。其次，节约环保耗材将减少约3580万元的成本（基于25年环保耗材费2.35亿元，预计降低15%）。因此，增收与降本合计可贡献约1.14亿元的税前利润，相较于25年实际税前利润7.9亿元，有14%的盈利弹性。</w:t>
      </w:r>
    </w:p>
    <w:p>
      <w:r>
        <w:rPr>
          <w:rFonts w:ascii="等线(中文正文)" w:hAnsi="等线(中文正文)" w:cs="等线(中文正文)" w:eastAsia="等线(中文正文)"/>
          <w:b w:val="false"/>
          <w:i w:val="false"/>
          <w:sz w:val="20"/>
        </w:rPr>
        <w:t/>
      </w:r>
    </w:p>
    <w:p>
      <w:pPr>
        <w:pStyle w:val="ab"/>
      </w:pPr>
      <w:r>
        <w:t>AI技术在绿色动力以及其他企业中的应用情况如何？</w:t>
      </w:r>
    </w:p>
    <w:p>
      <w:r>
        <w:rPr>
          <w:rFonts w:ascii="等线(中文正文)" w:hAnsi="等线(中文正文)" w:cs="等线(中文正文)" w:eastAsia="等线(中文正文)"/>
          <w:b w:val="false"/>
          <w:i w:val="false"/>
          <w:sz w:val="20"/>
        </w:rPr>
        <w:t>发言人1：AI技术不仅在绿色动力中有应用，还被多家企业如阿里云、光大、汉能和三丰万能等探索使用。例如，汉能早在2018年就与阿里云合作开展环保行业首个云计算互联网加项目，并在后续几年中通过AI平台实现了垃圾焚烧自动投运率超90%，蒸汽流量稳定性提升10%以上，以及人工工作量下降87%的成绩。25年，汉能进一步与中兴、新云、金杰、浪潮等企业共建人工智能助力绿色发展生态圈，预示着未来垃圾焚烧行业将普遍推广这些提效措施。</w:t>
      </w:r>
    </w:p>
    <w:p>
      <w:r>
        <w:rPr>
          <w:rFonts w:ascii="等线(中文正文)" w:hAnsi="等线(中文正文)" w:cs="等线(中文正文)" w:eastAsia="等线(中文正文)"/>
          <w:b w:val="false"/>
          <w:i w:val="false"/>
          <w:sz w:val="20"/>
        </w:rPr>
        <w:t/>
      </w:r>
    </w:p>
    <w:p>
      <w:pPr>
        <w:pStyle w:val="ab"/>
      </w:pPr>
      <w:r>
        <w:t>供热拓展及资源化应用对公司财务表现的影响是什么？</w:t>
      </w:r>
    </w:p>
    <w:p>
      <w:r>
        <w:rPr>
          <w:rFonts w:ascii="等线(中文正文)" w:hAnsi="等线(中文正文)" w:cs="等线(中文正文)" w:eastAsia="等线(中文正文)"/>
          <w:b w:val="false"/>
          <w:i w:val="false"/>
          <w:sz w:val="20"/>
        </w:rPr>
        <w:t>发言人1：公司持续进行供热拓展，供热量在25年同比增长99%，达到112万吨，26年Q1工作量更是同比增长36%。预计26年全年供热量将维持30%以上的增速。此外，炉渣中金属价值上涨带动炉渣提价以及独家合同到期后的续签，将进一步增厚公司的独家收益。同时，高能智能智能化应用和集采降本等措施也将继续推动业绩和ROE提升。供热、资源化及降本节约带来的现金流增长，使得25年公司的自由现金流持续增厚，达到15.85亿元，同比提升48%。</w:t>
      </w:r>
    </w:p>
    <w:p>
      <w:r>
        <w:rPr>
          <w:rFonts w:ascii="等线(中文正文)" w:hAnsi="等线(中文正文)" w:cs="等线(中文正文)" w:eastAsia="等线(中文正文)"/>
          <w:b w:val="false"/>
          <w:i w:val="false"/>
          <w:sz w:val="20"/>
        </w:rPr>
        <w:t/>
      </w:r>
    </w:p>
    <w:p>
      <w:pPr>
        <w:pStyle w:val="ab"/>
      </w:pPr>
      <w:r>
        <w:t>公司当前的分红潜力如何？</w:t>
      </w:r>
    </w:p>
    <w:p>
      <w:r>
        <w:rPr>
          <w:rFonts w:ascii="等线(中文正文)" w:hAnsi="等线(中文正文)" w:cs="等线(中文正文)" w:eastAsia="等线(中文正文)"/>
          <w:b w:val="false"/>
          <w:i w:val="false"/>
          <w:sz w:val="20"/>
        </w:rPr>
        <w:t>发言人1：基于自由现金流支撑，公司可支配的现金充裕。在扣除财务费用后，25年绿色动力的可支配现金能够支撑其分红潜力达到195%的水平。考虑到公司已具备70%以上的风控比例，仍有接近两倍的风控提升空间。因此，公司在业绩增长和分红潜力方面均有较大提升余地。</w:t>
      </w:r>
    </w:p>
    <w:p>
      <w:r>
        <w:rPr>
          <w:rFonts w:ascii="等线(中文正文)" w:hAnsi="等线(中文正文)" w:cs="等线(中文正文)" w:eastAsia="等线(中文正文)"/>
          <w:b w:val="false"/>
          <w:i w:val="false"/>
          <w:sz w:val="20"/>
        </w:rPr>
        <w:t/>
      </w:r>
    </w:p>
    <w:p>
      <w:pPr>
        <w:pStyle w:val="ab"/>
      </w:pPr>
      <w:r>
        <w:t>垃圾焚烧板块的增长来源有哪些方面？供热加速是如何为垃圾焚烧板块带来增长的？</w:t>
      </w:r>
    </w:p>
    <w:p>
      <w:r>
        <w:rPr>
          <w:rFonts w:ascii="等线(中文正文)" w:hAnsi="等线(中文正文)" w:cs="等线(中文正文)" w:eastAsia="等线(中文正文)"/>
          <w:b w:val="false"/>
          <w:i w:val="false"/>
          <w:sz w:val="20"/>
        </w:rPr>
        <w:t>发言人1：垃圾焚烧板块的增长主要来源于四个方面：一是收入结构的优化升级，二是充分利用清洁能源的价值评估，三是能源属性和金属资源的价值增值叠加双碳潜力，四是通过精细化运营和AI应用提升增发水平。供热加速表现为供应量的显著增长，例如绿色动力、海螺创业和稳定环保等公司的供热增速分别高达99%、85%和48%。相较于发电，供热业务可以带来翻倍的利润弹性，并且由于是to b交易，能够改善公司现金流。</w:t>
      </w:r>
    </w:p>
    <w:p>
      <w:r>
        <w:rPr>
          <w:rFonts w:ascii="等线(中文正文)" w:hAnsi="等线(中文正文)" w:cs="等线(中文正文)" w:eastAsia="等线(中文正文)"/>
          <w:b w:val="false"/>
          <w:i w:val="false"/>
          <w:sz w:val="20"/>
        </w:rPr>
        <w:t/>
      </w:r>
    </w:p>
    <w:p>
      <w:pPr>
        <w:pStyle w:val="ab"/>
      </w:pPr>
      <w:r>
        <w:t>现金流价值方面，垃圾焚烧板块有何亮点？</w:t>
      </w:r>
    </w:p>
    <w:p>
      <w:r>
        <w:rPr>
          <w:rFonts w:ascii="等线(中文正文)" w:hAnsi="等线(中文正文)" w:cs="等线(中文正文)" w:eastAsia="等线(中文正文)"/>
          <w:b w:val="false"/>
          <w:i w:val="false"/>
          <w:sz w:val="20"/>
        </w:rPr>
        <w:t>发言人1：在收入和利润增长的推动下，垃圾焚烧板块经营性净流入同比提升22%，自由现金流同比提升78%，达到118个亿。板块资本开支持续下降，自由现金流的增厚支撑了分红比例的进一步提升，同时模式优化也促进了现金流价值的持续增长。</w:t>
      </w:r>
    </w:p>
    <w:p>
      <w:r>
        <w:rPr>
          <w:rFonts w:ascii="等线(中文正文)" w:hAnsi="等线(中文正文)" w:cs="等线(中文正文)" w:eastAsia="等线(中文正文)"/>
          <w:b w:val="false"/>
          <w:i w:val="false"/>
          <w:sz w:val="20"/>
        </w:rPr>
        <w:t/>
      </w:r>
    </w:p>
    <w:p>
      <w:pPr>
        <w:pStyle w:val="ab"/>
      </w:pPr>
      <w:r>
        <w:t>在增发提升方面，有哪些具体表现和原因？</w:t>
      </w:r>
    </w:p>
    <w:p>
      <w:r>
        <w:rPr>
          <w:rFonts w:ascii="等线(中文正文)" w:hAnsi="等线(中文正文)" w:cs="等线(中文正文)" w:eastAsia="等线(中文正文)"/>
          <w:b w:val="false"/>
          <w:i w:val="false"/>
          <w:sz w:val="20"/>
        </w:rPr>
        <w:t>发言人1：2025年，全国性垃圾焚烧公司增发有所提升，供热之后的实际平均蒸发量为384吨每吨，同比增长了1%。这背后的原因包括精细化运营以及AI技术的应用，有效带动了增发水平的提高。</w:t>
      </w:r>
    </w:p>
    <w:p>
      <w:r>
        <w:rPr>
          <w:rFonts w:ascii="等线(中文正文)" w:hAnsi="等线(中文正文)" w:cs="等线(中文正文)" w:eastAsia="等线(中文正文)"/>
          <w:b w:val="false"/>
          <w:i w:val="false"/>
          <w:sz w:val="20"/>
        </w:rPr>
        <w:t/>
      </w:r>
    </w:p>
    <w:p>
      <w:pPr>
        <w:pStyle w:val="ab"/>
      </w:pPr>
      <w:r>
        <w:t>炉渣提价如何为垃圾焚烧企业增加收益？</w:t>
      </w:r>
    </w:p>
    <w:p>
      <w:r>
        <w:rPr>
          <w:rFonts w:ascii="等线(中文正文)" w:hAnsi="等线(中文正文)" w:cs="等线(中文正文)" w:eastAsia="等线(中文正文)"/>
          <w:b w:val="false"/>
          <w:i w:val="false"/>
          <w:sz w:val="20"/>
        </w:rPr>
        <w:t>发言人1：随着有色金属价格上涨，垃圾焚烧企业的炉渣新签合同价格也在不断上涨。以盛源环保为例，炉渣提价后的平均单价在120到130块钱左右一吨，最高甚至达到200块钱一吨。炉渣涨价可带来约11%的单元垃圾盈利弹性，且随着存量炉渣合同到期，涨价收益将在未来几年持续兑现。</w:t>
      </w:r>
    </w:p>
    <w:p>
      <w:r>
        <w:rPr>
          <w:rFonts w:ascii="等线(中文正文)" w:hAnsi="等线(中文正文)" w:cs="等线(中文正文)" w:eastAsia="等线(中文正文)"/>
          <w:b w:val="false"/>
          <w:i w:val="false"/>
          <w:sz w:val="20"/>
        </w:rPr>
        <w:t/>
      </w:r>
    </w:p>
    <w:p>
      <w:pPr>
        <w:pStyle w:val="ab"/>
      </w:pPr>
      <w:r>
        <w:t>算电协同如何助力垃圾焚烧项目的运营效率和收益提升？</w:t>
      </w:r>
    </w:p>
    <w:p>
      <w:r>
        <w:rPr>
          <w:rFonts w:ascii="等线(中文正文)" w:hAnsi="等线(中文正文)" w:cs="等线(中文正文)" w:eastAsia="等线(中文正文)"/>
          <w:b w:val="false"/>
          <w:i w:val="false"/>
          <w:sz w:val="20"/>
        </w:rPr>
        <w:t>发言人1：从2025年开始，通过算电协同及与AIDC的合作，如上海首个项目落地以及上市公司层面积极寻求合作机会（如万能环境、南太湖项目等），垃圾焚烧公司可以获得直连供电和清洁蒸汽支持，进一步提升经营收益，同时减少对国股依赖，满足规模与区位需求。</w:t>
      </w:r>
    </w:p>
    <w:p>
      <w:r>
        <w:rPr>
          <w:rFonts w:ascii="等线(中文正文)" w:hAnsi="等线(中文正文)" w:cs="等线(中文正文)" w:eastAsia="等线(中文正文)"/>
          <w:b w:val="false"/>
          <w:i w:val="false"/>
          <w:sz w:val="20"/>
        </w:rPr>
        <w:t/>
      </w:r>
    </w:p>
    <w:p>
      <w:pPr>
        <w:pStyle w:val="ab"/>
      </w:pPr>
      <w:r>
        <w:t>海外市场上中国垃圾焚烧企业的表现如何？</w:t>
      </w:r>
    </w:p>
    <w:p>
      <w:r>
        <w:rPr>
          <w:rFonts w:ascii="等线(中文正文)" w:hAnsi="等线(中文正文)" w:cs="等线(中文正文)" w:eastAsia="等线(中文正文)"/>
          <w:b w:val="false"/>
          <w:i w:val="false"/>
          <w:sz w:val="20"/>
        </w:rPr>
        <w:t>发言人1：在海外市场，尤其是东南亚和中亚地区，中国垃圾焚烧企业的竞争力强劲，已在新兴市场释放出需求。部分企业如伟民环保、万能环境等积极拓展海外市场，首批四个海外项目中有三个由中国企业中标，显示出中国企业在国际垃圾焚烧市场的成长潜力。</w:t>
      </w:r>
    </w:p>
    <w:p>
      <w:r>
        <w:rPr>
          <w:rFonts w:ascii="等线(中文正文)" w:hAnsi="等线(中文正文)" w:cs="等线(中文正文)" w:eastAsia="等线(中文正文)"/>
          <w:b w:val="false"/>
          <w:i w:val="false"/>
          <w:sz w:val="20"/>
        </w:rPr>
        <w:t/>
      </w:r>
    </w:p>
    <w:p>
      <w:pPr>
        <w:pStyle w:val="ab"/>
      </w:pPr>
      <w:r>
        <w:t>对于整个垃圾焚烧板块的推荐逻辑是什么？</w:t>
      </w:r>
    </w:p>
    <w:p>
      <w:r>
        <w:rPr>
          <w:rFonts w:ascii="等线(中文正文)" w:hAnsi="等线(中文正文)" w:cs="等线(中文正文)" w:eastAsia="等线(中文正文)"/>
          <w:b w:val="false"/>
          <w:i w:val="false"/>
          <w:sz w:val="20"/>
        </w:rPr>
        <w:t>发言人1：推荐逻辑基于红利价值以及未来经营绩效的双重提升，重点推荐汉南环境、永兴股份、绿色动力、光大环境和海螺创业等企业。此外，关注具有明确出海目标的企业，如文明环保、军信股份、光大环境和万能环境等，预期在保持相对温和资本开支的同时，通过海外项目实现业绩提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2026-05-06T14:12:16Z</dcterms:created>
  <dc:creator>Apache POI</dc:creator>
</cp:coreProperties>
</file>