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华鑫研究  首席鑫视角：市场或重回宏观流动性驱动 - 3月全社会债务数据综述 260506_导读</w:t>
      </w:r>
    </w:p>
    <w:p>
      <w:pPr>
        <w:pStyle w:val="a0"/>
        <w:jc w:val="center"/>
      </w:pPr>
      <w:r>
        <w:t>2026年05月06日 22:08</w:t>
      </w:r>
    </w:p>
    <w:p>
      <w:pPr>
        <w:pStyle w:val="a7"/>
      </w:pPr>
      <w:r>
        <w:t>关键词</w:t>
      </w:r>
    </w:p>
    <w:p>
      <w:r>
        <w:rPr>
          <w:rFonts w:ascii="等线(中文正文)" w:hAnsi="等线(中文正文)" w:cs="等线(中文正文)" w:eastAsia="等线(中文正文)"/>
          <w:b w:val="false"/>
          <w:i w:val="false"/>
          <w:sz w:val="20"/>
        </w:rPr>
        <w:t xml:space="preserve">宏观流动性 风险偏好 资产价格 盈利 贴现 微观流动性 宏观杠杆率 华鑫证券 配置策略 市场走势 实体部门 负债增速 金融部门 资金面 私人部门 家庭部门 美伊冲突 股票 债券 国债收益率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华鑫证券分析了3月至5月中国金融市场动态及投资策略，指出短期内市场价格变动受估值影响，长期则受宏观流动性和微观流动性共同作用。讨论了家庭部门负债增速下降对经济的影响，强调风险偏好对市场走势的作用。债券市场中，短端已基本透支降息预期，长端收益率反映经济增长预期及政策利率调整。未来策略建议在宏观流动性预期收敛时降低仓位，关注价值类权益资产，同时指出风险偏好提升下成长类股票的潜在机会。</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三月债务数据揭示市场流动性主导因素</w:t>
      </w:r>
    </w:p>
    <w:p>
      <w:r>
        <w:rPr>
          <w:rFonts w:ascii="等线(中文正文)" w:hAnsi="等线(中文正文)" w:cs="等线(中文正文)" w:eastAsia="等线(中文正文)"/>
          <w:b w:val="false"/>
          <w:i w:val="false"/>
          <w:sz w:val="20"/>
        </w:rPr>
        <w:t>会议强调了市场流动性对资产价格的影响，区分宏观与微观流动性，并指出四月市场由风险偏好主导，但五月可能回归宏观流动性驱动。建议投资者在资金减少背景下控制仓位，倾向于价值投资策略。</w:t>
      </w:r>
    </w:p>
    <w:p>
      <w:r>
        <w:rPr>
          <w:rFonts w:ascii="等线(中文正文)" w:hAnsi="等线(中文正文)" w:cs="等线(中文正文)" w:eastAsia="等线(中文正文)"/>
          <w:b w:val="false"/>
          <w:i w:val="false"/>
          <w:sz w:val="20"/>
        </w:rPr>
        <w:t/>
      </w:r>
    </w:p>
    <w:p>
      <w:pPr>
        <w:pStyle w:val="ab"/>
        <w:numPr>
          <w:numId w:val="2"/>
        </w:numPr>
      </w:pPr>
      <w:r>
        <w:t>05:00 三月数据回顾与五月市场配置策略展望</w:t>
      </w:r>
    </w:p>
    <w:p>
      <w:r>
        <w:rPr>
          <w:rFonts w:ascii="等线(中文正文)" w:hAnsi="等线(中文正文)" w:cs="等线(中文正文)" w:eastAsia="等线(中文正文)"/>
          <w:b w:val="false"/>
          <w:i w:val="false"/>
          <w:sz w:val="20"/>
        </w:rPr>
        <w:t>对话首先回顾了三月宏观流动性和国家资产负债表的数据，指出实体和金融部门均出现缩表，特别是家庭部门负债增速首次出现负增长，预示着未来可能见底回升。接着分析了四月市场走势，认为风险偏好提升是主要影响因素，宏观流动性影响有限。最后基于预测，讨论了五月份的市场配置策略，强调了家庭部门负债增速见底后对地产和消费的潜在正面影响，以及政府部门负债增速的窄幅震荡趋势。</w:t>
      </w:r>
    </w:p>
    <w:p>
      <w:r>
        <w:rPr>
          <w:rFonts w:ascii="等线(中文正文)" w:hAnsi="等线(中文正文)" w:cs="等线(中文正文)" w:eastAsia="等线(中文正文)"/>
          <w:b w:val="false"/>
          <w:i w:val="false"/>
          <w:sz w:val="20"/>
        </w:rPr>
        <w:t/>
      </w:r>
    </w:p>
    <w:p>
      <w:pPr>
        <w:pStyle w:val="ab"/>
        <w:numPr>
          <w:numId w:val="3"/>
        </w:numPr>
      </w:pPr>
      <w:r>
        <w:t>13:14 实体部门负债增速预估与分析</w:t>
      </w:r>
    </w:p>
    <w:p>
      <w:r>
        <w:rPr>
          <w:rFonts w:ascii="等线(中文正文)" w:hAnsi="等线(中文正文)" w:cs="等线(中文正文)" w:eastAsia="等线(中文正文)"/>
          <w:b w:val="false"/>
          <w:i w:val="false"/>
          <w:sz w:val="20"/>
        </w:rPr>
        <w:t>对话主要讨论了实体部门负债增速的预估和分析，指出非金融企业部门是负债增速下降的主要力量，三月份实体部门负债增速下降，四月份可能有轻微上升，五月份预计不会继续上升，整体趋势是逐步见底后回升。同时，提及了政府部门、家庭部门的负债增速变化，以及信用债发行对负债增速的影响。</w:t>
      </w:r>
    </w:p>
    <w:p>
      <w:r>
        <w:rPr>
          <w:rFonts w:ascii="等线(中文正文)" w:hAnsi="等线(中文正文)" w:cs="等线(中文正文)" w:eastAsia="等线(中文正文)"/>
          <w:b w:val="false"/>
          <w:i w:val="false"/>
          <w:sz w:val="20"/>
        </w:rPr>
        <w:t/>
      </w:r>
    </w:p>
    <w:p>
      <w:pPr>
        <w:pStyle w:val="ab"/>
        <w:numPr>
          <w:numId w:val="4"/>
        </w:numPr>
      </w:pPr>
      <w:r>
        <w:t>16:34 金融部门资金面四月平稳五月趋收敛</w:t>
      </w:r>
    </w:p>
    <w:p>
      <w:r>
        <w:rPr>
          <w:rFonts w:ascii="等线(中文正文)" w:hAnsi="等线(中文正文)" w:cs="等线(中文正文)" w:eastAsia="等线(中文正文)"/>
          <w:b w:val="false"/>
          <w:i w:val="false"/>
          <w:sz w:val="20"/>
        </w:rPr>
        <w:t>对话讨论了金融部门的宏观流动性，指出三月资金面收敛，四月总体平稳，仅20号至24号那周有短期改善。预计五月资金面将趋于收敛，实体部门负债增速不超四月，宏观流动性展望为稳中向下。月初资金面可能有短暂恢复，但整体趋势为收敛。</w:t>
      </w:r>
    </w:p>
    <w:p>
      <w:r>
        <w:rPr>
          <w:rFonts w:ascii="等线(中文正文)" w:hAnsi="等线(中文正文)" w:cs="等线(中文正文)" w:eastAsia="等线(中文正文)"/>
          <w:b w:val="false"/>
          <w:i w:val="false"/>
          <w:sz w:val="20"/>
        </w:rPr>
        <w:t/>
      </w:r>
    </w:p>
    <w:p>
      <w:pPr>
        <w:pStyle w:val="ab"/>
        <w:numPr>
          <w:numId w:val="5"/>
        </w:numPr>
      </w:pPr>
      <w:r>
        <w:t>21:12 美国GDP增速与科技行业盈利关系分析</w:t>
      </w:r>
    </w:p>
    <w:p>
      <w:r>
        <w:rPr>
          <w:rFonts w:ascii="等线(中文正文)" w:hAnsi="等线(中文正文)" w:cs="等线(中文正文)" w:eastAsia="等线(中文正文)"/>
          <w:b w:val="false"/>
          <w:i w:val="false"/>
          <w:sz w:val="20"/>
        </w:rPr>
        <w:t>对话讨论了美国一季度实际GDP同比增速超预期至2.7%，与科技公司盈利改善相关，但预计全年增速将从前高后低趋势回归2%的长期潜在增速，科技行业表现预计为年内高点。</w:t>
      </w:r>
    </w:p>
    <w:p>
      <w:r>
        <w:rPr>
          <w:rFonts w:ascii="等线(中文正文)" w:hAnsi="等线(中文正文)" w:cs="等线(中文正文)" w:eastAsia="等线(中文正文)"/>
          <w:b w:val="false"/>
          <w:i w:val="false"/>
          <w:sz w:val="20"/>
        </w:rPr>
        <w:t/>
      </w:r>
    </w:p>
    <w:p>
      <w:pPr>
        <w:pStyle w:val="ab"/>
        <w:numPr>
          <w:numId w:val="6"/>
        </w:numPr>
      </w:pPr>
      <w:r>
        <w:t>24:09 中国私人部门负债增速与经济盈利关系分析</w:t>
      </w:r>
    </w:p>
    <w:p>
      <w:r>
        <w:rPr>
          <w:rFonts w:ascii="等线(中文正文)" w:hAnsi="等线(中文正文)" w:cs="等线(中文正文)" w:eastAsia="等线(中文正文)"/>
          <w:b w:val="false"/>
          <w:i w:val="false"/>
          <w:sz w:val="20"/>
        </w:rPr>
        <w:t>对话讨论了中国私人部门负债增速与经济盈利的关系，指出负债增速可作为资产端增量增速的补充验证。去年四季度经济增速触底，今年1-2月有所改善，3月出现回落，但整体经济仍处于低位窄幅震荡状态，预计未来波动幅度有限。盈利被视为慢变量，短期市场涨跌更多受宏观流动性或风险偏好影响。</w:t>
      </w:r>
    </w:p>
    <w:p>
      <w:r>
        <w:rPr>
          <w:rFonts w:ascii="等线(中文正文)" w:hAnsi="等线(中文正文)" w:cs="等线(中文正文)" w:eastAsia="等线(中文正文)"/>
          <w:b w:val="false"/>
          <w:i w:val="false"/>
          <w:sz w:val="20"/>
        </w:rPr>
        <w:t/>
      </w:r>
    </w:p>
    <w:p>
      <w:pPr>
        <w:pStyle w:val="ab"/>
        <w:numPr>
          <w:numId w:val="7"/>
        </w:numPr>
      </w:pPr>
      <w:r>
        <w:t>27:40 三月美伊冲突与市场波动关系分析</w:t>
      </w:r>
    </w:p>
    <w:p>
      <w:r>
        <w:rPr>
          <w:rFonts w:ascii="等线(中文正文)" w:hAnsi="等线(中文正文)" w:cs="等线(中文正文)" w:eastAsia="等线(中文正文)"/>
          <w:b w:val="false"/>
          <w:i w:val="false"/>
          <w:sz w:val="20"/>
        </w:rPr>
        <w:t>对话讨论了三月份市场股债双杀的现象，指出美伊冲突加剧了风险偏好下降，导致资金从股票和债券市场转向避险的货币类资产。尽管宏观流动性边际收敛，但连续三周的股债下跌超出了预期，表明冲突对市场情绪有显著影响。短端债券收益率下降，显示资金流向最安全的资产。</w:t>
      </w:r>
    </w:p>
    <w:p>
      <w:r>
        <w:rPr>
          <w:rFonts w:ascii="等线(中文正文)" w:hAnsi="等线(中文正文)" w:cs="等线(中文正文)" w:eastAsia="等线(中文正文)"/>
          <w:b w:val="false"/>
          <w:i w:val="false"/>
          <w:sz w:val="20"/>
        </w:rPr>
        <w:t/>
      </w:r>
    </w:p>
    <w:p>
      <w:pPr>
        <w:pStyle w:val="ab"/>
        <w:numPr>
          <w:numId w:val="8"/>
        </w:numPr>
      </w:pPr>
      <w:r>
        <w:t>29:57 股票与债券市场在3-4月的波动分析</w:t>
      </w:r>
    </w:p>
    <w:p>
      <w:r>
        <w:rPr>
          <w:rFonts w:ascii="等线(中文正文)" w:hAnsi="等线(中文正文)" w:cs="等线(中文正文)" w:eastAsia="等线(中文正文)"/>
          <w:b w:val="false"/>
          <w:i w:val="false"/>
          <w:sz w:val="20"/>
        </w:rPr>
        <w:t>3-4月间，股票和债券市场经历了从底部震荡到双涨的变化，主要受风险偏好和宏观流动性影响。4月初，风险偏好提升促使避险资金回流，推动市场上涨。4月20日后，宏观流动性扩张，资金从短端货币类资产回流至股债市场，但总量有限。4月后两周，价值股表现优于成长股，股票与债券市场开始出现跷跷板效应，资金回流迹象减弱。</w:t>
      </w:r>
    </w:p>
    <w:p>
      <w:r>
        <w:rPr>
          <w:rFonts w:ascii="等线(中文正文)" w:hAnsi="等线(中文正文)" w:cs="等线(中文正文)" w:eastAsia="等线(中文正文)"/>
          <w:b w:val="false"/>
          <w:i w:val="false"/>
          <w:sz w:val="20"/>
        </w:rPr>
        <w:t/>
      </w:r>
    </w:p>
    <w:p>
      <w:pPr>
        <w:pStyle w:val="ab"/>
        <w:numPr>
          <w:numId w:val="9"/>
        </w:numPr>
      </w:pPr>
      <w:r>
        <w:t>35:00 四月股债双牛，风险偏好区间震荡</w:t>
      </w:r>
    </w:p>
    <w:p>
      <w:r>
        <w:rPr>
          <w:rFonts w:ascii="等线(中文正文)" w:hAnsi="等线(中文正文)" w:cs="等线(中文正文)" w:eastAsia="等线(中文正文)"/>
          <w:b w:val="false"/>
          <w:i w:val="false"/>
          <w:sz w:val="20"/>
        </w:rPr>
        <w:t>四月股市和债市均呈现上涨趋势，但股市涨幅更大，尤其是成长型股票。实债收益率下降，股债性价比略微偏向股票，但市场整体保持谨慎。五月首个交易日，股市成交量放大，债券市场出现下跌，显示风险偏好提升，但预计风险偏好将维持区间震荡，不会出现持续上升或下降。</w:t>
      </w:r>
    </w:p>
    <w:p>
      <w:r>
        <w:rPr>
          <w:rFonts w:ascii="等线(中文正文)" w:hAnsi="等线(中文正文)" w:cs="等线(中文正文)" w:eastAsia="等线(中文正文)"/>
          <w:b w:val="false"/>
          <w:i w:val="false"/>
          <w:sz w:val="20"/>
        </w:rPr>
        <w:t/>
      </w:r>
    </w:p>
    <w:p>
      <w:pPr>
        <w:pStyle w:val="ab"/>
        <w:numPr>
          <w:numId w:val="10"/>
        </w:numPr>
      </w:pPr>
      <w:r>
        <w:t>39:23 股债跷跷板效应与宏观流动性分析</w:t>
      </w:r>
    </w:p>
    <w:p>
      <w:r>
        <w:rPr>
          <w:rFonts w:ascii="等线(中文正文)" w:hAnsi="等线(中文正文)" w:cs="等线(中文正文)" w:eastAsia="等线(中文正文)"/>
          <w:b w:val="false"/>
          <w:i w:val="false"/>
          <w:sz w:val="20"/>
        </w:rPr>
        <w:t>对话讨论了资金从货币类资产向股债流转的趋势，指出宏观流动性不足导致股债跷跷板效应，即股票上涨伴随债券下跌。基于当前市场数据，短端债券收益率已透支降息预期，建议在资产配置中控制仓位，倾向于选择价值类权益资产，而非债券。分析认为，未来市场可能由宏观流动性驱动，需关注实体部门负债增速及资金面变化。</w:t>
      </w:r>
    </w:p>
    <w:p>
      <w:r>
        <w:rPr>
          <w:rFonts w:ascii="等线(中文正文)" w:hAnsi="等线(中文正文)" w:cs="等线(中文正文)" w:eastAsia="等线(中文正文)"/>
          <w:b w:val="false"/>
          <w:i w:val="false"/>
          <w:sz w:val="20"/>
        </w:rPr>
        <w:t/>
      </w:r>
    </w:p>
    <w:p>
      <w:pPr>
        <w:pStyle w:val="ab"/>
        <w:numPr>
          <w:numId w:val="11"/>
        </w:numPr>
      </w:pPr>
      <w:r>
        <w:t>44:54 期限利差与债券市场参与价值分析</w:t>
      </w:r>
    </w:p>
    <w:p>
      <w:r>
        <w:rPr>
          <w:rFonts w:ascii="等线(中文正文)" w:hAnsi="等线(中文正文)" w:cs="等线(中文正文)" w:eastAsia="等线(中文正文)"/>
          <w:b w:val="false"/>
          <w:i w:val="false"/>
          <w:sz w:val="20"/>
        </w:rPr>
        <w:t>讨论了期限利差对盈利状况的影响，以及当前债券市场的参与价值。认为期限利差的边际扩张反映盈利改善，但不支持其持续拉升。分析了十年国债收益率的中枢位置，指出当前参与价值不大，尤其是短端。对于超长端债券，如30年国债，认为在2.2左右价位参与价值有限，而2.4则可能接近区间上沿，建议谨慎介入。整体判断，短端、长端及超长端债券当前参与价值均不大。</w:t>
      </w:r>
    </w:p>
    <w:p>
      <w:r>
        <w:rPr>
          <w:rFonts w:ascii="等线(中文正文)" w:hAnsi="等线(中文正文)" w:cs="等线(中文正文)" w:eastAsia="等线(中文正文)"/>
          <w:b w:val="false"/>
          <w:i w:val="false"/>
          <w:sz w:val="20"/>
        </w:rPr>
        <w:t/>
      </w:r>
    </w:p>
    <w:p>
      <w:pPr>
        <w:pStyle w:val="ab"/>
        <w:numPr>
          <w:numId w:val="12"/>
        </w:numPr>
      </w:pPr>
      <w:r>
        <w:t>48:22 5月投资策略：宏观流动性收敛下的权益资产配置</w:t>
      </w:r>
    </w:p>
    <w:p>
      <w:r>
        <w:rPr>
          <w:rFonts w:ascii="等线(中文正文)" w:hAnsi="等线(中文正文)" w:cs="等线(中文正文)" w:eastAsia="等线(中文正文)"/>
          <w:b w:val="false"/>
          <w:i w:val="false"/>
          <w:sz w:val="20"/>
        </w:rPr>
        <w:t>基于宏观流动性收敛的判断，建议在五月份降低仓位并集中于上证50、红利指数等价值类权益资产，同时对风险偏好提升可能带来的成长类资产机会保持警惕，总体策略注重仓位控制和资产配置的灵活性。</w:t>
      </w:r>
    </w:p>
    <w:p>
      <w:r>
        <w:rPr>
          <w:rFonts w:ascii="等线(中文正文)" w:hAnsi="等线(中文正文)" w:cs="等线(中文正文)" w:eastAsia="等线(中文正文)"/>
          <w:b w:val="false"/>
          <w:i w:val="false"/>
          <w:sz w:val="20"/>
        </w:rPr>
        <w:t/>
      </w:r>
    </w:p>
    <w:p>
      <w:pPr>
        <w:pStyle w:val="a7"/>
      </w:pPr>
      <w:r>
        <w:t>发言总结</w:t>
      </w:r>
    </w:p>
    <w:p>
      <w:pPr>
        <w:pStyle w:val="ab"/>
        <w:numPr>
          <w:numId w:val="13"/>
        </w:numPr>
      </w:pPr>
      <w:r>
        <w:t>发言人1</w:t>
      </w:r>
    </w:p>
    <w:p>
      <w:r>
        <w:rPr>
          <w:rFonts w:ascii="等线(中文正文)" w:hAnsi="等线(中文正文)" w:cs="等线(中文正文)" w:eastAsia="等线(中文正文)"/>
          <w:b w:val="false"/>
          <w:i w:val="false"/>
          <w:sz w:val="20"/>
        </w:rPr>
        <w:t>首先介绍了三月份的全社会债务数据，并强调了本次会议的保密性和非投资建议性质，同时禁止未经许可的内容传播。他指出，决定市场价格的两大因素是盈利和贴现，特别强调宏观流动性对市场的影响是可预测的，而微观流动性难以预测。通过回顾三月份数据，他指出实体部门和金融部门均出现缩表，家庭部门负债增速首次负增长，预示未来风险和机会。
接着，他分析了四月份市场情况，认为风险偏好的提升是主要驱动，预测五月份将回归宏观流动性驱动，预计宏观流动性收敛。基于此，他提出控制仓位，特别是在价值类权益资产上的配置，强调了市场不确定性下的谨慎态度。对于债券市场，他指出短端和长端可能缺乏吸引力，建议关注价值类权益资产如上证50和红利指数。
最后，他强调尽管未来市场预测存在不确定性，但通过历史数据分析可提高预测胜率。他感谢与会者，并期望分享内容能帮助大家做出投资决策，祝愿大家投资愉快。</w:t>
      </w:r>
    </w:p>
    <w:p>
      <w:r>
        <w:rPr>
          <w:rFonts w:ascii="等线(中文正文)" w:hAnsi="等线(中文正文)" w:cs="等线(中文正文)" w:eastAsia="等线(中文正文)"/>
          <w:b w:val="false"/>
          <w:i w:val="false"/>
          <w:sz w:val="20"/>
        </w:rPr>
        <w:t/>
      </w:r>
    </w:p>
    <w:p>
      <w:pPr>
        <w:pStyle w:val="a7"/>
      </w:pPr>
      <w:r>
        <w:t>要点回顾</w:t>
      </w:r>
    </w:p>
    <w:p>
      <w:pPr>
        <w:pStyle w:val="ab"/>
      </w:pPr>
      <w:r>
        <w:t>在决定市场价格的因素中，盈利和贴现分别扮演什么角色？在当前市场环境下，影响市场走势的主要因素是什么？</w:t>
      </w:r>
    </w:p>
    <w:p>
      <w:r>
        <w:rPr>
          <w:rFonts w:ascii="等线(中文正文)" w:hAnsi="等线(中文正文)" w:cs="等线(中文正文)" w:eastAsia="等线(中文正文)"/>
          <w:b w:val="false"/>
          <w:i w:val="false"/>
          <w:sz w:val="20"/>
        </w:rPr>
        <w:t>发言人1：盈利是决定资产价格的内生变量，而贴现则是外生变量，其中流动性是贴现的核心部分。流动性又细分为宏观流动性（全社会钱的增加或减少）和微观流动性（在存量不变的情况下，因风险偏好的变化导致资金在不同资产间切换）。短期来看，市场价格的主要变化因素是估值。在过去的一个月，尤其是四月份，主导市场的核心因素是风险偏好的提升。尽管宏观流动性在月底也有所贡献，但微观流动性更为关键。不过，持续由微观流动性主导市场的情况不会太长时间，且其不确定性较大。</w:t>
      </w:r>
    </w:p>
    <w:p>
      <w:r>
        <w:rPr>
          <w:rFonts w:ascii="等线(中文正文)" w:hAnsi="等线(中文正文)" w:cs="等线(中文正文)" w:eastAsia="等线(中文正文)"/>
          <w:b w:val="false"/>
          <w:i w:val="false"/>
          <w:sz w:val="20"/>
        </w:rPr>
        <w:t/>
      </w:r>
    </w:p>
    <w:p>
      <w:pPr>
        <w:pStyle w:val="ab"/>
      </w:pPr>
      <w:r>
        <w:t>对于市场价格预测而言，哪些因素更重要，哪些更难预测？根据现有数据，您们对五月份市场的预测和建议是什么？</w:t>
      </w:r>
    </w:p>
    <w:p>
      <w:r>
        <w:rPr>
          <w:rFonts w:ascii="等线(中文正文)" w:hAnsi="等线(中文正文)" w:cs="等线(中文正文)" w:eastAsia="等线(中文正文)"/>
          <w:b w:val="false"/>
          <w:i w:val="false"/>
          <w:sz w:val="20"/>
        </w:rPr>
        <w:t>发言人1：盈利是最重要的因素，但其变化速度较慢；相比之下，微观流动性（即风险偏好变化）难以预测，其对市场的影响类似赌大小，而宏观流动性在一定程度上是可以预测的，尤其是在中国市场，价格通常与当期数据紧密相关。我们预计五月份市场将回归到宏观流动性驱动的逻辑，整体呈现收敛状态，因此组合策略上倾向于股票和债券，并建议控制仓位，因为资金收紧对各类资产都不利。权益类资产中，价值股可能会相对占优。</w:t>
      </w:r>
    </w:p>
    <w:p>
      <w:r>
        <w:rPr>
          <w:rFonts w:ascii="等线(中文正文)" w:hAnsi="等线(中文正文)" w:cs="等线(中文正文)" w:eastAsia="等线(中文正文)"/>
          <w:b w:val="false"/>
          <w:i w:val="false"/>
          <w:sz w:val="20"/>
        </w:rPr>
        <w:t/>
      </w:r>
    </w:p>
    <w:p>
      <w:pPr>
        <w:pStyle w:val="ab"/>
      </w:pPr>
      <w:r>
        <w:t>三月份的整体负债数据显示了什么情况？</w:t>
      </w:r>
    </w:p>
    <w:p>
      <w:r>
        <w:rPr>
          <w:rFonts w:ascii="等线(中文正文)" w:hAnsi="等线(中文正文)" w:cs="等线(中文正文)" w:eastAsia="等线(中文正文)"/>
          <w:b w:val="false"/>
          <w:i w:val="false"/>
          <w:sz w:val="20"/>
        </w:rPr>
        <w:t>发言人1：在三月份，无论是实体部门还是金融部门，都出现了边际收缩的现象，即宏观流动性改善。特别是家庭部门负债增速出现了自2005年以来首次余额同比负增长，这表明家庭负债水平低于合意中枢，并可能在未来逐步见底回升。同时，政府部门负债增速有所下降，但仍保持较高水平。</w:t>
      </w:r>
    </w:p>
    <w:p>
      <w:r>
        <w:rPr>
          <w:rFonts w:ascii="等线(中文正文)" w:hAnsi="等线(中文正文)" w:cs="等线(中文正文)" w:eastAsia="等线(中文正文)"/>
          <w:b w:val="false"/>
          <w:i w:val="false"/>
          <w:sz w:val="20"/>
        </w:rPr>
        <w:t/>
      </w:r>
    </w:p>
    <w:p>
      <w:pPr>
        <w:pStyle w:val="ab"/>
      </w:pPr>
      <w:r>
        <w:t>五月份政府部门和非金融企业部门的负债增速预测是怎样的？</w:t>
      </w:r>
    </w:p>
    <w:p>
      <w:r>
        <w:rPr>
          <w:rFonts w:ascii="等线(中文正文)" w:hAnsi="等线(中文正文)" w:cs="等线(中文正文)" w:eastAsia="等线(中文正文)"/>
          <w:b w:val="false"/>
          <w:i w:val="false"/>
          <w:sz w:val="20"/>
        </w:rPr>
        <w:t>发言人1：预计五月份政府部门的负债增速会在11.5左右，呈现窄幅震荡状态；非金融企业部门的负债增速则可能有所下降，目前预估为9.7%，相比前值9.9%有所回落，我们认为这个速度仍偏高，后续下降概率大于上升概率。</w:t>
      </w:r>
    </w:p>
    <w:p>
      <w:r>
        <w:rPr>
          <w:rFonts w:ascii="等线(中文正文)" w:hAnsi="等线(中文正文)" w:cs="等线(中文正文)" w:eastAsia="等线(中文正文)"/>
          <w:b w:val="false"/>
          <w:i w:val="false"/>
          <w:sz w:val="20"/>
        </w:rPr>
        <w:t/>
      </w:r>
    </w:p>
    <w:p>
      <w:pPr>
        <w:pStyle w:val="ab"/>
      </w:pPr>
      <w:r>
        <w:t>可以参考哪些指标来判断宏观杠杆率的稳定情况？</w:t>
      </w:r>
    </w:p>
    <w:p>
      <w:r>
        <w:rPr>
          <w:rFonts w:ascii="等线(中文正文)" w:hAnsi="等线(中文正文)" w:cs="等线(中文正文)" w:eastAsia="等线(中文正文)"/>
          <w:b w:val="false"/>
          <w:i w:val="false"/>
          <w:sz w:val="20"/>
        </w:rPr>
        <w:t>发言人1：一个可作为参考的指标是工业企业的负债增速，它与名义增速基本匹配，并且与盈利的相关性较高。目前工业企业负债增速大约为5.5%，接近名义GDP增速的6.5%，而整体非金融企业负债增速（9.7%）相比工业企业的负债增速显然偏高。</w:t>
      </w:r>
    </w:p>
    <w:p>
      <w:r>
        <w:rPr>
          <w:rFonts w:ascii="等线(中文正文)" w:hAnsi="等线(中文正文)" w:cs="等线(中文正文)" w:eastAsia="等线(中文正文)"/>
          <w:b w:val="false"/>
          <w:i w:val="false"/>
          <w:sz w:val="20"/>
        </w:rPr>
        <w:t/>
      </w:r>
    </w:p>
    <w:p>
      <w:pPr>
        <w:pStyle w:val="ab"/>
      </w:pPr>
      <w:r>
        <w:t>对于整个实体部门负债增速的判断是怎样的？</w:t>
      </w:r>
    </w:p>
    <w:p>
      <w:r>
        <w:rPr>
          <w:rFonts w:ascii="等线(中文正文)" w:hAnsi="等线(中文正文)" w:cs="等线(中文正文)" w:eastAsia="等线(中文正文)"/>
          <w:b w:val="false"/>
          <w:i w:val="false"/>
          <w:sz w:val="20"/>
        </w:rPr>
        <w:t>发言人1：实体部门负债增速在三月末为8.1%，预计到年底会下调至7.7%，主要由于贷款表现不及预期。其中，非金融企业部门是导致实体部门负债增速后续下降的主要力量。对于四月份，预估实体部门负债增速可能在月中有所回升，从3月末的8.1%上升到8.2%。而在五月份，基本判断不会超过4月末的8.2%负债增速，大概率会保持平稳或下降。</w:t>
      </w:r>
    </w:p>
    <w:p>
      <w:r>
        <w:rPr>
          <w:rFonts w:ascii="等线(中文正文)" w:hAnsi="等线(中文正文)" w:cs="等线(中文正文)" w:eastAsia="等线(中文正文)"/>
          <w:b w:val="false"/>
          <w:i w:val="false"/>
          <w:sz w:val="20"/>
        </w:rPr>
        <w:t/>
      </w:r>
    </w:p>
    <w:p>
      <w:pPr>
        <w:pStyle w:val="ab"/>
      </w:pPr>
      <w:r>
        <w:t>金融部门负债增速和资金面的情况如何？</w:t>
      </w:r>
    </w:p>
    <w:p>
      <w:r>
        <w:rPr>
          <w:rFonts w:ascii="等线(中文正文)" w:hAnsi="等线(中文正文)" w:cs="等线(中文正文)" w:eastAsia="等线(中文正文)"/>
          <w:b w:val="false"/>
          <w:i w:val="false"/>
          <w:sz w:val="20"/>
        </w:rPr>
        <w:t>发言人1：在三月份，金融部门流动性出现了明显的收敛，而在四月份初，预计会比三月份有所改善，呈现平稳状态。转折点发生在四月第二周（4月20号至24号），资金面出现了一定程度的改善，但在四月底最后一周又开始回归和收敛。对于五月份，判断金融部门资金面将出现一定程度的收敛。</w:t>
      </w:r>
    </w:p>
    <w:p>
      <w:r>
        <w:rPr>
          <w:rFonts w:ascii="等线(中文正文)" w:hAnsi="等线(中文正文)" w:cs="等线(中文正文)" w:eastAsia="等线(中文正文)"/>
          <w:b w:val="false"/>
          <w:i w:val="false"/>
          <w:sz w:val="20"/>
        </w:rPr>
        <w:t/>
      </w:r>
    </w:p>
    <w:p>
      <w:pPr>
        <w:pStyle w:val="ab"/>
      </w:pPr>
      <w:r>
        <w:t>对于美国经济增速的看法有哪些变化？</w:t>
      </w:r>
    </w:p>
    <w:p>
      <w:r>
        <w:rPr>
          <w:rFonts w:ascii="等线(中文正文)" w:hAnsi="等线(中文正文)" w:cs="等线(中文正文)" w:eastAsia="等线(中文正文)"/>
          <w:b w:val="false"/>
          <w:i w:val="false"/>
          <w:sz w:val="20"/>
        </w:rPr>
        <w:t>发言人1：最新数据显示，美国一季度实际GDP同比增速超预期上升至2.7%，优于之前预期，这可能与科技公司业绩表现较好有关。不过，美联储预计今年全年实际GDP增速为2.4%，后续将逐渐向中枢回归，而去年则是前低后高，预计今年将呈现前高后低的走势。</w:t>
      </w:r>
    </w:p>
    <w:p>
      <w:r>
        <w:rPr>
          <w:rFonts w:ascii="等线(中文正文)" w:hAnsi="等线(中文正文)" w:cs="等线(中文正文)" w:eastAsia="等线(中文正文)"/>
          <w:b w:val="false"/>
          <w:i w:val="false"/>
          <w:sz w:val="20"/>
        </w:rPr>
        <w:t/>
      </w:r>
    </w:p>
    <w:p>
      <w:pPr>
        <w:pStyle w:val="ab"/>
      </w:pPr>
      <w:r>
        <w:t>私人部门负债增速在盈利模拟中的作用是什么？统计局公布的何种数据与私人部门负债增速有关联？</w:t>
      </w:r>
    </w:p>
    <w:p>
      <w:r>
        <w:rPr>
          <w:rFonts w:ascii="等线(中文正文)" w:hAnsi="等线(中文正文)" w:cs="等线(中文正文)" w:eastAsia="等线(中文正文)"/>
          <w:b w:val="false"/>
          <w:i w:val="false"/>
          <w:sz w:val="20"/>
        </w:rPr>
        <w:t>发言人1：私人部门负债增速是模拟盈利的一个重要补充变量，它与实际GDP同比增速相配合，通过负债端名义计价的存量增速来交叉验证资产端增量增速。在我们的分析中，私人部门包括工业企业和家庭部门，两者负债数据的增速大约为200万亿，用于反映经济盈利状况。统计局公布的数据反映了去年一轮经济增速的走势，大约在去年10月份达到高点，之后震荡下行至去年12月份到达低点，与私人部门负债增速呈现正向相关性。</w:t>
      </w:r>
    </w:p>
    <w:p>
      <w:r>
        <w:rPr>
          <w:rFonts w:ascii="等线(中文正文)" w:hAnsi="等线(中文正文)" w:cs="等线(中文正文)" w:eastAsia="等线(中文正文)"/>
          <w:b w:val="false"/>
          <w:i w:val="false"/>
          <w:sz w:val="20"/>
        </w:rPr>
        <w:t/>
      </w:r>
    </w:p>
    <w:p>
      <w:pPr>
        <w:pStyle w:val="ab"/>
      </w:pPr>
      <w:r>
        <w:t>今年三月份私人部门负债增速有何变化？</w:t>
      </w:r>
    </w:p>
    <w:p>
      <w:r>
        <w:rPr>
          <w:rFonts w:ascii="等线(中文正文)" w:hAnsi="等线(中文正文)" w:cs="等线(中文正文)" w:eastAsia="等线(中文正文)"/>
          <w:b w:val="false"/>
          <w:i w:val="false"/>
          <w:sz w:val="20"/>
        </w:rPr>
        <w:t>发言人1：在今年三月份，私人部门负债增速相较于二月份出现了回落，从二月份的超过3%降至三月份的2.9%，接近历史最低水平，约等于去年12月末的2.6%。这与统计局公布的数据基本吻合，显示出今年一季度中国经济增速整体走弱见底。</w:t>
      </w:r>
    </w:p>
    <w:p>
      <w:r>
        <w:rPr>
          <w:rFonts w:ascii="等线(中文正文)" w:hAnsi="等线(中文正文)" w:cs="等线(中文正文)" w:eastAsia="等线(中文正文)"/>
          <w:b w:val="false"/>
          <w:i w:val="false"/>
          <w:sz w:val="20"/>
        </w:rPr>
        <w:t/>
      </w:r>
    </w:p>
    <w:p>
      <w:pPr>
        <w:pStyle w:val="ab"/>
      </w:pPr>
      <w:r>
        <w:t>当前对中国经济整体盈利的判断是怎样的？</w:t>
      </w:r>
    </w:p>
    <w:p>
      <w:r>
        <w:rPr>
          <w:rFonts w:ascii="等线(中文正文)" w:hAnsi="等线(中文正文)" w:cs="等线(中文正文)" w:eastAsia="等线(中文正文)"/>
          <w:b w:val="false"/>
          <w:i w:val="false"/>
          <w:sz w:val="20"/>
        </w:rPr>
        <w:t>发言人1：目前判断中国经济整体盈利处于窄幅震荡状态，预计增速中枢在4%左右，上下波动幅度不会太大。从短期来看，市场走势受宏观流动性变化和风险偏好的影响较大。</w:t>
      </w:r>
    </w:p>
    <w:p>
      <w:r>
        <w:rPr>
          <w:rFonts w:ascii="等线(中文正文)" w:hAnsi="等线(中文正文)" w:cs="等线(中文正文)" w:eastAsia="等线(中文正文)"/>
          <w:b w:val="false"/>
          <w:i w:val="false"/>
          <w:sz w:val="20"/>
        </w:rPr>
        <w:t/>
      </w:r>
    </w:p>
    <w:p>
      <w:pPr>
        <w:pStyle w:val="ab"/>
      </w:pPr>
      <w:r>
        <w:t>三月份市场为何出现股债双杀的情况？</w:t>
      </w:r>
    </w:p>
    <w:p>
      <w:r>
        <w:rPr>
          <w:rFonts w:ascii="等线(中文正文)" w:hAnsi="等线(中文正文)" w:cs="等线(中文正文)" w:eastAsia="等线(中文正文)"/>
          <w:b w:val="false"/>
          <w:i w:val="false"/>
          <w:sz w:val="20"/>
        </w:rPr>
        <w:t>发言人1：三月份市场出现股债双杀主要是由于美伊冲突带来的风险偏好急剧下降，资金从股票和债券市场大量抽离进入避险类货币资产，导致股票和债券同时下跌。</w:t>
      </w:r>
    </w:p>
    <w:p>
      <w:r>
        <w:rPr>
          <w:rFonts w:ascii="等线(中文正文)" w:hAnsi="等线(中文正文)" w:cs="等线(中文正文)" w:eastAsia="等线(中文正文)"/>
          <w:b w:val="false"/>
          <w:i w:val="false"/>
          <w:sz w:val="20"/>
        </w:rPr>
        <w:t/>
      </w:r>
    </w:p>
    <w:p>
      <w:pPr>
        <w:pStyle w:val="ab"/>
      </w:pPr>
      <w:r>
        <w:t>三月底至四月初债券和股票市场为何开始筑底并进入正向相关状态？四月份股票和债券市场表现如何，以及回流资金的影响？</w:t>
      </w:r>
    </w:p>
    <w:p>
      <w:r>
        <w:rPr>
          <w:rFonts w:ascii="等线(中文正文)" w:hAnsi="等线(中文正文)" w:cs="等线(中文正文)" w:eastAsia="等线(中文正文)"/>
          <w:b w:val="false"/>
          <w:i w:val="false"/>
          <w:sz w:val="20"/>
        </w:rPr>
        <w:t>发言人1：这主要是由于美伊冲突缓和，部分避险资金开始回流到股票和债券市场，加上风险偏好的提升，使得债券和股票市场在经历了连续下跌后进入底部震荡并开始同步上涨。四月份，随着宏观流动性的一定程度扩张和避险类资产回补，债券和股票市场呈现正向相关状态，尤其是4月6号至13号这两周，风险偏好的提升促使资金回流股债市场，推动了两市上涨。而到了4月底，尽管宏观流动性有所扩张，但由于回流资金减少，股债市场结构发生变化，价值类指数表现更强。</w:t>
      </w:r>
    </w:p>
    <w:p>
      <w:r>
        <w:rPr>
          <w:rFonts w:ascii="等线(中文正文)" w:hAnsi="等线(中文正文)" w:cs="等线(中文正文)" w:eastAsia="等线(中文正文)"/>
          <w:b w:val="false"/>
          <w:i w:val="false"/>
          <w:sz w:val="20"/>
        </w:rPr>
        <w:t/>
      </w:r>
    </w:p>
    <w:p>
      <w:pPr>
        <w:pStyle w:val="ab"/>
      </w:pPr>
      <w:r>
        <w:t>四月份股市和债市的整体表现如何？</w:t>
      </w:r>
    </w:p>
    <w:p>
      <w:r>
        <w:rPr>
          <w:rFonts w:ascii="等线(中文正文)" w:hAnsi="等线(中文正文)" w:cs="等线(中文正文)" w:eastAsia="等线(中文正文)"/>
          <w:b w:val="false"/>
          <w:i w:val="false"/>
          <w:sz w:val="20"/>
        </w:rPr>
        <w:t>发言人1：四月份股市和债市呈现股债双牛走势，万德圈上涨8.69%，其中成长类比价值类涨势更强。实债收益率累计下降了七个基点，股债性价比略倾向于股票，但幅度有限，反映市场整体较为谨慎而非亢奋。</w:t>
      </w:r>
    </w:p>
    <w:p>
      <w:r>
        <w:rPr>
          <w:rFonts w:ascii="等线(中文正文)" w:hAnsi="等线(中文正文)" w:cs="等线(中文正文)" w:eastAsia="等线(中文正文)"/>
          <w:b w:val="false"/>
          <w:i w:val="false"/>
          <w:sz w:val="20"/>
        </w:rPr>
        <w:t/>
      </w:r>
    </w:p>
    <w:p>
      <w:pPr>
        <w:pStyle w:val="ab"/>
      </w:pPr>
      <w:r>
        <w:t>具体有哪些指标表明风险偏好在提升？</w:t>
      </w:r>
    </w:p>
    <w:p>
      <w:r>
        <w:rPr>
          <w:rFonts w:ascii="等线(中文正文)" w:hAnsi="等线(中文正文)" w:cs="等线(中文正文)" w:eastAsia="等线(中文正文)"/>
          <w:b w:val="false"/>
          <w:i w:val="false"/>
          <w:sz w:val="20"/>
        </w:rPr>
        <w:t>发言人1：风险偏好的提升表现为三个指标：一是权益市场成交量明显上升；二是股债跷跷板现象增多，表现为股票上涨债券下跌；三是风格上，成长风格在权益市场中跑赢了价值风格。</w:t>
      </w:r>
    </w:p>
    <w:p>
      <w:r>
        <w:rPr>
          <w:rFonts w:ascii="等线(中文正文)" w:hAnsi="等线(中文正文)" w:cs="等线(中文正文)" w:eastAsia="等线(中文正文)"/>
          <w:b w:val="false"/>
          <w:i w:val="false"/>
          <w:sz w:val="20"/>
        </w:rPr>
        <w:t/>
      </w:r>
    </w:p>
    <w:p>
      <w:pPr>
        <w:pStyle w:val="ab"/>
      </w:pPr>
      <w:r>
        <w:t>近期股债市场的跷跷板效应是否明显？</w:t>
      </w:r>
    </w:p>
    <w:p>
      <w:r>
        <w:rPr>
          <w:rFonts w:ascii="等线(中文正文)" w:hAnsi="等线(中文正文)" w:cs="等线(中文正文)" w:eastAsia="等线(中文正文)"/>
          <w:b w:val="false"/>
          <w:i w:val="false"/>
          <w:sz w:val="20"/>
        </w:rPr>
        <w:t>发言人1：是的，近期股债市场出现了明显的跷跷板效应，特别是在五一假期后的首个交易日。尽管流动性并不充裕，但权益市场成交量显著上升至3万亿，而债券市场成交量萎缩，这体现了宏观流动性不足的情况。</w:t>
      </w:r>
    </w:p>
    <w:p>
      <w:r>
        <w:rPr>
          <w:rFonts w:ascii="等线(中文正文)" w:hAnsi="等线(中文正文)" w:cs="等线(中文正文)" w:eastAsia="等线(中文正文)"/>
          <w:b w:val="false"/>
          <w:i w:val="false"/>
          <w:sz w:val="20"/>
        </w:rPr>
        <w:t/>
      </w:r>
    </w:p>
    <w:p>
      <w:pPr>
        <w:pStyle w:val="ab"/>
      </w:pPr>
      <w:r>
        <w:t>风险偏好的整体状态是什么样的？</w:t>
      </w:r>
    </w:p>
    <w:p>
      <w:r>
        <w:rPr>
          <w:rFonts w:ascii="等线(中文正文)" w:hAnsi="等线(中文正文)" w:cs="等线(中文正文)" w:eastAsia="等线(中文正文)"/>
          <w:b w:val="false"/>
          <w:i w:val="false"/>
          <w:sz w:val="20"/>
        </w:rPr>
        <w:t>发言人1：风险偏好自去年9月份以来呈现窄幅震荡状态，之前在7 8月份有过明显上升，之后则保持区间震荡，不会出现持续上升或下降的趋势。目前对于股债风险偏好的判断仍然是区间震荡，不会明显上升。</w:t>
      </w:r>
    </w:p>
    <w:p>
      <w:r>
        <w:rPr>
          <w:rFonts w:ascii="等线(中文正文)" w:hAnsi="等线(中文正文)" w:cs="等线(中文正文)" w:eastAsia="等线(中文正文)"/>
          <w:b w:val="false"/>
          <w:i w:val="false"/>
          <w:sz w:val="20"/>
        </w:rPr>
        <w:t/>
      </w:r>
    </w:p>
    <w:p>
      <w:pPr>
        <w:pStyle w:val="ab"/>
      </w:pPr>
      <w:r>
        <w:t>资金从货币类资产向股债回流的情况如何？</w:t>
      </w:r>
    </w:p>
    <w:p>
      <w:r>
        <w:rPr>
          <w:rFonts w:ascii="等线(中文正文)" w:hAnsi="等线(中文正文)" w:cs="等线(中文正文)" w:eastAsia="等线(中文正文)"/>
          <w:b w:val="false"/>
          <w:i w:val="false"/>
          <w:sz w:val="20"/>
        </w:rPr>
        <w:t>发言人1：从4月20号那一周开始，资金流入股债市场的幅度已经显著减小。同时，四月份最后一周股债跷跷板效应增强，债券成交量萎缩，反映出宏观流动性的不足。</w:t>
      </w:r>
    </w:p>
    <w:p>
      <w:r>
        <w:rPr>
          <w:rFonts w:ascii="等线(中文正文)" w:hAnsi="等线(中文正文)" w:cs="等线(中文正文)" w:eastAsia="等线(中文正文)"/>
          <w:b w:val="false"/>
          <w:i w:val="false"/>
          <w:sz w:val="20"/>
        </w:rPr>
        <w:t/>
      </w:r>
    </w:p>
    <w:p>
      <w:pPr>
        <w:pStyle w:val="ab"/>
      </w:pPr>
      <w:r>
        <w:t>对于五月份市场走势的核心驱动因素是什么？</w:t>
      </w:r>
    </w:p>
    <w:p>
      <w:r>
        <w:rPr>
          <w:rFonts w:ascii="等线(中文正文)" w:hAnsi="等线(中文正文)" w:cs="等线(中文正文)" w:eastAsia="等线(中文正文)"/>
          <w:b w:val="false"/>
          <w:i w:val="false"/>
          <w:sz w:val="20"/>
        </w:rPr>
        <w:t>发言人1：核心驱动因素可能转向宏观流动性。由于盈利是一个慢变量，若风险偏好不驱动，则主要由宏观流动性驱动市场走势。预计五月份整体宏观流动性偏下降，因此可能采取“比烂”逻辑，即选择跌幅相对较小或表现最好的资产类别进行配置。</w:t>
      </w:r>
    </w:p>
    <w:p>
      <w:r>
        <w:rPr>
          <w:rFonts w:ascii="等线(中文正文)" w:hAnsi="等线(中文正文)" w:cs="等线(中文正文)" w:eastAsia="等线(中文正文)"/>
          <w:b w:val="false"/>
          <w:i w:val="false"/>
          <w:sz w:val="20"/>
        </w:rPr>
        <w:t/>
      </w:r>
    </w:p>
    <w:p>
      <w:pPr>
        <w:pStyle w:val="ab"/>
      </w:pPr>
      <w:r>
        <w:t>在债券市场中，如何判断短端和长端的表现？</w:t>
      </w:r>
    </w:p>
    <w:p>
      <w:r>
        <w:rPr>
          <w:rFonts w:ascii="等线(中文正文)" w:hAnsi="等线(中文正文)" w:cs="等线(中文正文)" w:eastAsia="等线(中文正文)"/>
          <w:b w:val="false"/>
          <w:i w:val="false"/>
          <w:sz w:val="20"/>
        </w:rPr>
        <w:t>发言人1：根据货币政策锚定的短期政策利率，目前11年期国债收益率下沿大约在1.3%，中枢位置在1.4%，而当前短端债券收益率已基本透支一次降息预期。对于长端债券，期限利差反映了盈利状况，目前期限利差不大，预示盈利改善和融资需求增加，但期限利差不会持续大幅扩张。</w:t>
      </w:r>
    </w:p>
    <w:p>
      <w:r>
        <w:rPr>
          <w:rFonts w:ascii="等线(中文正文)" w:hAnsi="等线(中文正文)" w:cs="等线(中文正文)" w:eastAsia="等线(中文正文)"/>
          <w:b w:val="false"/>
          <w:i w:val="false"/>
          <w:sz w:val="20"/>
        </w:rPr>
        <w:t/>
      </w:r>
    </w:p>
    <w:p>
      <w:pPr>
        <w:pStyle w:val="ab"/>
      </w:pPr>
      <w:r>
        <w:t>目前十年国债收益率的中枢位置以及上下波动范围是多少？</w:t>
      </w:r>
    </w:p>
    <w:p>
      <w:r>
        <w:rPr>
          <w:rFonts w:ascii="等线(中文正文)" w:hAnsi="等线(中文正文)" w:cs="等线(中文正文)" w:eastAsia="等线(中文正文)"/>
          <w:b w:val="false"/>
          <w:i w:val="false"/>
          <w:sz w:val="20"/>
        </w:rPr>
        <w:t>发言人1：根据当前数据推算，十年国债收益率的中枢位置大约在1.75左右，其下沿大约在1.6，上沿大约在1.9。</w:t>
      </w:r>
    </w:p>
    <w:p>
      <w:r>
        <w:rPr>
          <w:rFonts w:ascii="等线(中文正文)" w:hAnsi="等线(中文正文)" w:cs="等线(中文正文)" w:eastAsia="等线(中文正文)"/>
          <w:b w:val="false"/>
          <w:i w:val="false"/>
          <w:sz w:val="20"/>
        </w:rPr>
        <w:t/>
      </w:r>
    </w:p>
    <w:p>
      <w:pPr>
        <w:pStyle w:val="ab"/>
      </w:pPr>
      <w:r>
        <w:t>对于30年国债，您们的判断和建议是什么？</w:t>
      </w:r>
    </w:p>
    <w:p>
      <w:r>
        <w:rPr>
          <w:rFonts w:ascii="等线(中文正文)" w:hAnsi="等线(中文正文)" w:cs="等线(中文正文)" w:eastAsia="等线(中文正文)"/>
          <w:b w:val="false"/>
          <w:i w:val="false"/>
          <w:sz w:val="20"/>
        </w:rPr>
        <w:t>发言人1：我们判断30年国债价格可能到2.2左右，在3月23号那周我们曾报告认为30年国债达到2.4的位置时可以进行一定程度上的介入。目前从2.4下降到2.2，已有20个BP的下跌空间，虽然不敢说看空，但再往下下跌的空间不大，参与价值已不太大。</w:t>
      </w:r>
    </w:p>
    <w:p>
      <w:r>
        <w:rPr>
          <w:rFonts w:ascii="等线(中文正文)" w:hAnsi="等线(中文正文)" w:cs="等线(中文正文)" w:eastAsia="等线(中文正文)"/>
          <w:b w:val="false"/>
          <w:i w:val="false"/>
          <w:sz w:val="20"/>
        </w:rPr>
        <w:t/>
      </w:r>
    </w:p>
    <w:p>
      <w:pPr>
        <w:pStyle w:val="ab"/>
      </w:pPr>
      <w:r>
        <w:t>在债券市场现状下，哪些品种具有投资价值？</w:t>
      </w:r>
    </w:p>
    <w:p>
      <w:r>
        <w:rPr>
          <w:rFonts w:ascii="等线(中文正文)" w:hAnsi="等线(中文正文)" w:cs="等线(中文正文)" w:eastAsia="等线(中文正文)"/>
          <w:b w:val="false"/>
          <w:i w:val="false"/>
          <w:sz w:val="20"/>
        </w:rPr>
        <w:t>发言人1：在当前情况下，无论是短端、长端还是超长端的债券，按照现在的价位参与价值都不大，尤其是短端债券已经出现透支较为严重的现象。</w:t>
      </w:r>
    </w:p>
    <w:p>
      <w:r>
        <w:rPr>
          <w:rFonts w:ascii="等线(中文正文)" w:hAnsi="等线(中文正文)" w:cs="等线(中文正文)" w:eastAsia="等线(中文正文)"/>
          <w:b w:val="false"/>
          <w:i w:val="false"/>
          <w:sz w:val="20"/>
        </w:rPr>
        <w:t/>
      </w:r>
    </w:p>
    <w:p>
      <w:pPr>
        <w:pStyle w:val="ab"/>
      </w:pPr>
      <w:r>
        <w:t>基于当前宏观流动性收敛以及股债相关关系的判断，您们对于五月份的投资策略有何建议？</w:t>
      </w:r>
    </w:p>
    <w:p>
      <w:r>
        <w:rPr>
          <w:rFonts w:ascii="等线(中文正文)" w:hAnsi="等线(中文正文)" w:cs="等线(中文正文)" w:eastAsia="等线(中文正文)"/>
          <w:b w:val="false"/>
          <w:i w:val="false"/>
          <w:sz w:val="20"/>
        </w:rPr>
        <w:t>发言人1：如果五月份宏观流动性驱动市场，则建议降低仓位，并更多集中在上证50和红利指数这类偏价值类的权益资产上，其中50指数相对价值更高一些。若认为是风险偏好提升主导市场，则应做多成长类权益资产。</w:t>
      </w:r>
    </w:p>
    <w:p>
      <w:r>
        <w:rPr>
          <w:rFonts w:ascii="等线(中文正文)" w:hAnsi="等线(中文正文)" w:cs="等线(中文正文)" w:eastAsia="等线(中文正文)"/>
          <w:b w:val="false"/>
          <w:i w:val="false"/>
          <w:sz w:val="20"/>
        </w:rPr>
        <w:t/>
      </w:r>
    </w:p>
    <w:p>
      <w:pPr>
        <w:pStyle w:val="ab"/>
      </w:pPr>
      <w:r>
        <w:t>对于权益市场的配置，应该如何根据不同的驱动因素来调整？</w:t>
      </w:r>
    </w:p>
    <w:p>
      <w:r>
        <w:rPr>
          <w:rFonts w:ascii="等线(中文正文)" w:hAnsi="等线(中文正文)" w:cs="等线(中文正文)" w:eastAsia="等线(中文正文)"/>
          <w:b w:val="false"/>
          <w:i w:val="false"/>
          <w:sz w:val="20"/>
        </w:rPr>
        <w:t>发言人1：若认为驱动因素是宏观流动性收敛，建议仓位较低，重点配置价值类权益资产如上证50和红利指数；若认为是风险偏好提升驱动市场，则应配置成长类权益资产。不过，无论哪种驱动因素，都强调控制仓位，确保投资确定性。</w:t>
      </w:r>
    </w:p>
    <w:p>
      <w:r>
        <w:rPr>
          <w:rFonts w:ascii="等线(中文正文)" w:hAnsi="等线(中文正文)" w:cs="等线(中文正文)" w:eastAsia="等线(中文正文)"/>
          <w:b w:val="false"/>
          <w:i w:val="false"/>
          <w:sz w:val="20"/>
        </w:rPr>
        <w:t/>
      </w:r>
    </w:p>
    <w:p>
      <w:pPr>
        <w:pStyle w:val="ab"/>
      </w:pPr>
      <w:r>
        <w:t>对于5月份资金面的变化及权益资产配置的建议是什么？</w:t>
      </w:r>
    </w:p>
    <w:p>
      <w:r>
        <w:rPr>
          <w:rFonts w:ascii="等线(中文正文)" w:hAnsi="等线(中文正文)" w:cs="等线(中文正文)" w:eastAsia="等线(中文正文)"/>
          <w:b w:val="false"/>
          <w:i w:val="false"/>
          <w:sz w:val="20"/>
        </w:rPr>
        <w:t>发言人1：5月份倾向于更多集中在价值类权益资产上，尤其是在月末月初资金面可能出现扰动时。上周和本周认为应持有一定比例的成长仓位，以博弈资金面变化带来的机会。</w:t>
      </w:r>
    </w:p>
    <w:p>
      <w:r>
        <w:rPr>
          <w:rFonts w:ascii="等线(中文正文)" w:hAnsi="等线(中文正文)" w:cs="等线(中文正文)" w:eastAsia="等线(中文正文)"/>
          <w:b w:val="false"/>
          <w:i w:val="false"/>
          <w:sz w:val="20"/>
        </w:rPr>
        <w:t/>
      </w:r>
    </w:p>
    <w:p>
      <w:pPr>
        <w:pStyle w:val="ab"/>
      </w:pPr>
      <w:r>
        <w:t>成交量对于未来市场走势的影响如何？</w:t>
      </w:r>
    </w:p>
    <w:p>
      <w:r>
        <w:rPr>
          <w:rFonts w:ascii="等线(中文正文)" w:hAnsi="等线(中文正文)" w:cs="等线(中文正文)" w:eastAsia="等线(中文正文)"/>
          <w:b w:val="false"/>
          <w:i w:val="false"/>
          <w:sz w:val="20"/>
        </w:rPr>
        <w:t>发言人1：当前成交量已达到高位，若无法持续放大，则这一波上涨可能接近尾声。结合政策调控等因素，预计资金面将在本周末或下周初见顶，这也与我们对于宏观流动性收敛的预测相吻合。</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2026-05-06T14:12:22Z</dcterms:created>
  <dc:creator>Apache POI</dc:creator>
</cp:coreProperties>
</file>