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招商证券 - A股预期上调，外资回流 - 5月大类资产配置展望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A股 盈利预期 估值 利率债 机构行为 配置观点 成长风格 红利风格 地缘风险 市场表现 利率中枢 宏观基本面 资金行为 交易观点 利率 震荡 偏多 转债 黄金 配置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报告综合分析了A股市场、黄金、保险资金配置以及外资机构对中国市场的最新动态。在A股方面，基于一季报和年报分析，上调了盈利预期，看好后续盈利增长，建议红利与成长并重。黄金市场波动加大，报告提供了资产配置策略及风险控制建议。保险资金权益配置趋势增强，偏好银行、公用事业等，具体个股有增减操作。外资对中国股票态度谨慎，但边际流出压力减轻，倾向于宽基与均衡型工具参与市场修复。报告还涉及了利率债、可转债等固定收益产品建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资产配置展望：盈利边际变化、黄金波动与机构行为</w:t>
      </w:r>
    </w:p>
    <w:p>
      <w:r>
        <w:rPr>
          <w:rFonts w:ascii="等线(中文正文)" w:hAnsi="等线(中文正文)" w:cs="等线(中文正文)" w:eastAsia="等线(中文正文)"/>
          <w:b w:val="false"/>
          <w:i w:val="false"/>
          <w:sz w:val="20"/>
        </w:rPr>
        <w:t>本期资产配置展望会议聚焦三大主题：一是结合宏观数据评估市场盈利边际变化及风格节奏影响；二是分析黄金波动率提升，提出师资择时和仓位管理方案；三是关注保险资金和外资一季度边际配置变化，理解机构行为趋势。</w:t>
      </w:r>
    </w:p>
    <w:p>
      <w:r>
        <w:rPr>
          <w:rFonts w:ascii="等线(中文正文)" w:hAnsi="等线(中文正文)" w:cs="等线(中文正文)" w:eastAsia="等线(中文正文)"/>
          <w:b w:val="false"/>
          <w:i w:val="false"/>
          <w:sz w:val="20"/>
        </w:rPr>
        <w:t/>
      </w:r>
    </w:p>
    <w:p>
      <w:pPr>
        <w:pStyle w:val="ab"/>
        <w:numPr>
          <w:numId w:val="2"/>
        </w:numPr>
      </w:pPr>
      <w:r>
        <w:t>01:28 五月A股配置展望：上调盈利预期与收益率</w:t>
      </w:r>
    </w:p>
    <w:p>
      <w:r>
        <w:rPr>
          <w:rFonts w:ascii="等线(中文正文)" w:hAnsi="等线(中文正文)" w:cs="等线(中文正文)" w:eastAsia="等线(中文正文)"/>
          <w:b w:val="false"/>
          <w:i w:val="false"/>
          <w:sz w:val="20"/>
        </w:rPr>
        <w:t>五月A股配置观点更新，核心在于上调盈利预期，源于地缘风险早于预期落地，以及三月经济数据未显现预期滞胀，内外基本面韧性超预期。基于此，对中证800全收益未来一年预期收益率进行小幅上调，综合考量估值、股息率及股本变化预期。</w:t>
      </w:r>
    </w:p>
    <w:p>
      <w:r>
        <w:rPr>
          <w:rFonts w:ascii="等线(中文正文)" w:hAnsi="等线(中文正文)" w:cs="等线(中文正文)" w:eastAsia="等线(中文正文)"/>
          <w:b w:val="false"/>
          <w:i w:val="false"/>
          <w:sz w:val="20"/>
        </w:rPr>
        <w:t/>
      </w:r>
    </w:p>
    <w:p>
      <w:pPr>
        <w:pStyle w:val="ab"/>
        <w:numPr>
          <w:numId w:val="3"/>
        </w:numPr>
      </w:pPr>
      <w:r>
        <w:t>02:55 A股估值与盈利预期分析：维持偏乐观态度</w:t>
      </w:r>
    </w:p>
    <w:p>
      <w:r>
        <w:rPr>
          <w:rFonts w:ascii="等线(中文正文)" w:hAnsi="等线(中文正文)" w:cs="等线(中文正文)" w:eastAsia="等线(中文正文)"/>
          <w:b w:val="false"/>
          <w:i w:val="false"/>
          <w:sz w:val="20"/>
        </w:rPr>
        <w:t>当前A股的ERP指标处于低位，中证800估值分位数在50%-60%区间，未达极端水平，与全球重点指数相比仍有低估可能，估值稳定性高。三月数据显示，中证800净利润TTM同比增速4.7%，工业企业利润总额同比增速达15.5%，显示利润修复周期持续。全球滞胀预期未现，实际通胀低于预期，PMI高于预期，市场表现验证经济增长乐观预期，可适度上调A股盈利预期，整体观点偏乐观。</w:t>
      </w:r>
    </w:p>
    <w:p>
      <w:r>
        <w:rPr>
          <w:rFonts w:ascii="等线(中文正文)" w:hAnsi="等线(中文正文)" w:cs="等线(中文正文)" w:eastAsia="等线(中文正文)"/>
          <w:b w:val="false"/>
          <w:i w:val="false"/>
          <w:sz w:val="20"/>
        </w:rPr>
        <w:t/>
      </w:r>
    </w:p>
    <w:p>
      <w:pPr>
        <w:pStyle w:val="ab"/>
        <w:numPr>
          <w:numId w:val="4"/>
        </w:numPr>
      </w:pPr>
      <w:r>
        <w:t>06:36 行业配置策略：红利为底，成长求超额</w:t>
      </w:r>
    </w:p>
    <w:p>
      <w:r>
        <w:rPr>
          <w:rFonts w:ascii="等线(中文正文)" w:hAnsi="等线(中文正文)" w:cs="等线(中文正文)" w:eastAsia="等线(中文正文)"/>
          <w:b w:val="false"/>
          <w:i w:val="false"/>
          <w:sz w:val="20"/>
        </w:rPr>
        <w:t>讨论了基于景气度和低估筛选的行业配置策略，推荐以红利风格行业为底仓，成长类行业挖掘超额收益，尤其关注有色金属、化工等高景气行业及银行、煤炭等低估行业，旨在构建稳健的行业组合。</w:t>
      </w:r>
    </w:p>
    <w:p>
      <w:r>
        <w:rPr>
          <w:rFonts w:ascii="等线(中文正文)" w:hAnsi="等线(中文正文)" w:cs="等线(中文正文)" w:eastAsia="等线(中文正文)"/>
          <w:b w:val="false"/>
          <w:i w:val="false"/>
          <w:sz w:val="20"/>
        </w:rPr>
        <w:t/>
      </w:r>
    </w:p>
    <w:p>
      <w:pPr>
        <w:pStyle w:val="ab"/>
        <w:numPr>
          <w:numId w:val="5"/>
        </w:numPr>
      </w:pPr>
      <w:r>
        <w:t>11:11 利率债与可转债配置观点分析</w:t>
      </w:r>
    </w:p>
    <w:p>
      <w:r>
        <w:rPr>
          <w:rFonts w:ascii="等线(中文正文)" w:hAnsi="等线(中文正文)" w:cs="等线(中文正文)" w:eastAsia="等线(中文正文)"/>
          <w:b w:val="false"/>
          <w:i w:val="false"/>
          <w:sz w:val="20"/>
        </w:rPr>
        <w:t>从中期视角，利率债处于合理范围，但中性偏高，预计有下行空间；短期视角下，通过宏观基本面、机构资金行为及技术分析模型，观察短线交易机会。整体判断，利率债当前估值合理，但存在调整可能。</w:t>
      </w:r>
    </w:p>
    <w:p>
      <w:r>
        <w:rPr>
          <w:rFonts w:ascii="等线(中文正文)" w:hAnsi="等线(中文正文)" w:cs="等线(中文正文)" w:eastAsia="等线(中文正文)"/>
          <w:b w:val="false"/>
          <w:i w:val="false"/>
          <w:sz w:val="20"/>
        </w:rPr>
        <w:t/>
      </w:r>
    </w:p>
    <w:p>
      <w:pPr>
        <w:pStyle w:val="ab"/>
        <w:numPr>
          <w:numId w:val="6"/>
        </w:numPr>
      </w:pPr>
      <w:r>
        <w:t>14:19 利率短期交易机会分析：多模型视角下的震荡预期</w:t>
      </w:r>
    </w:p>
    <w:p>
      <w:r>
        <w:rPr>
          <w:rFonts w:ascii="等线(中文正文)" w:hAnsi="等线(中文正文)" w:cs="等线(中文正文)" w:eastAsia="等线(中文正文)"/>
          <w:b w:val="false"/>
          <w:i w:val="false"/>
          <w:sz w:val="20"/>
        </w:rPr>
        <w:t>通过分析宏观基本面、机构资金交易行为及价量交易趋势三个模型，得出利率短期交易机会观点不一，基本面模型偏中性偏空，机构资金行为模型偏多，价量模型中性偏多，综合判断短期利率预期以震荡为主。</w:t>
      </w:r>
    </w:p>
    <w:p>
      <w:r>
        <w:rPr>
          <w:rFonts w:ascii="等线(中文正文)" w:hAnsi="等线(中文正文)" w:cs="等线(中文正文)" w:eastAsia="等线(中文正文)"/>
          <w:b w:val="false"/>
          <w:i w:val="false"/>
          <w:sz w:val="20"/>
        </w:rPr>
        <w:t/>
      </w:r>
    </w:p>
    <w:p>
      <w:pPr>
        <w:pStyle w:val="ab"/>
        <w:numPr>
          <w:numId w:val="7"/>
        </w:numPr>
      </w:pPr>
      <w:r>
        <w:t>17:40 可转债市场估值偏高，固收策略组合表现稳健</w:t>
      </w:r>
    </w:p>
    <w:p>
      <w:r>
        <w:rPr>
          <w:rFonts w:ascii="等线(中文正文)" w:hAnsi="等线(中文正文)" w:cs="等线(中文正文)" w:eastAsia="等线(中文正文)"/>
          <w:b w:val="false"/>
          <w:i w:val="false"/>
          <w:sz w:val="20"/>
        </w:rPr>
        <w:t>讨论了可转债市场的期权估值和正股估值，指出当前市场定价偏离度负值加深，转债价格偏贵，中期配置性价比不高。同时，介绍了固收多资产策略组合的最新表现，推荐低配转债，超配长债，低配短债的配置观点。</w:t>
      </w:r>
    </w:p>
    <w:p>
      <w:r>
        <w:rPr>
          <w:rFonts w:ascii="等线(中文正文)" w:hAnsi="等线(中文正文)" w:cs="等线(中文正文)" w:eastAsia="等线(中文正文)"/>
          <w:b w:val="false"/>
          <w:i w:val="false"/>
          <w:sz w:val="20"/>
        </w:rPr>
        <w:t/>
      </w:r>
    </w:p>
    <w:p>
      <w:pPr>
        <w:pStyle w:val="ab"/>
        <w:numPr>
          <w:numId w:val="8"/>
        </w:numPr>
      </w:pPr>
      <w:r>
        <w:t>20:35 黄金定价逻辑分析：储备资产、投资配置与投机交易</w:t>
      </w:r>
    </w:p>
    <w:p>
      <w:r>
        <w:rPr>
          <w:rFonts w:ascii="等线(中文正文)" w:hAnsi="等线(中文正文)" w:cs="等线(中文正文)" w:eastAsia="等线(中文正文)"/>
          <w:b w:val="false"/>
          <w:i w:val="false"/>
          <w:sz w:val="20"/>
        </w:rPr>
        <w:t>从全球央行储备、投资配置需求及投机交易三个角度解析黄金定价逻辑。央行增持黄金对冲货币信用风险，支撑金价；投资配置考虑实际利率、通胀率及美元指数等宏观因素，以及避险情绪与黄金ETF持有量等微观指标；投机交易则通过期货与现货价差进行套利，影响黄金价格。</w:t>
      </w:r>
    </w:p>
    <w:p>
      <w:r>
        <w:rPr>
          <w:rFonts w:ascii="等线(中文正文)" w:hAnsi="等线(中文正文)" w:cs="等线(中文正文)" w:eastAsia="等线(中文正文)"/>
          <w:b w:val="false"/>
          <w:i w:val="false"/>
          <w:sz w:val="20"/>
        </w:rPr>
        <w:t/>
      </w:r>
    </w:p>
    <w:p>
      <w:pPr>
        <w:pStyle w:val="ab"/>
        <w:numPr>
          <w:numId w:val="9"/>
        </w:numPr>
      </w:pPr>
      <w:r>
        <w:t>23:21 短期与中长期指标分析：避险情绪、黄金市场与经济政策</w:t>
      </w:r>
    </w:p>
    <w:p>
      <w:r>
        <w:rPr>
          <w:rFonts w:ascii="等线(中文正文)" w:hAnsi="等线(中文正文)" w:cs="等线(中文正文)" w:eastAsia="等线(中文正文)"/>
          <w:b w:val="false"/>
          <w:i w:val="false"/>
          <w:sz w:val="20"/>
        </w:rPr>
        <w:t>对话详细分析了短期指标如EPU、GPR、美元指数、实际利率、黄金ETF持有量、期限基差及隐含波动率的变化，指出避险情绪减弱、美元指数震荡下调、黄金ETF需求平稳、期限基差反弹及隐含波动率下降的趋势。中长期关注黄金储备增持趋势，尤其是中国黄金储备显著增加，以及黄金与M2比率的连续下降，反映市场对黄金需求和经济政策的动态反应。</w:t>
      </w:r>
    </w:p>
    <w:p>
      <w:r>
        <w:rPr>
          <w:rFonts w:ascii="等线(中文正文)" w:hAnsi="等线(中文正文)" w:cs="等线(中文正文)" w:eastAsia="等线(中文正文)"/>
          <w:b w:val="false"/>
          <w:i w:val="false"/>
          <w:sz w:val="20"/>
        </w:rPr>
        <w:t/>
      </w:r>
    </w:p>
    <w:p>
      <w:pPr>
        <w:pStyle w:val="ab"/>
        <w:numPr>
          <w:numId w:val="10"/>
        </w:numPr>
      </w:pPr>
      <w:r>
        <w:t>27:45 黄金市场分析与策略构建</w:t>
      </w:r>
    </w:p>
    <w:p>
      <w:r>
        <w:rPr>
          <w:rFonts w:ascii="等线(中文正文)" w:hAnsi="等线(中文正文)" w:cs="等线(中文正文)" w:eastAsia="等线(中文正文)"/>
          <w:b w:val="false"/>
          <w:i w:val="false"/>
          <w:sz w:val="20"/>
        </w:rPr>
        <w:t>对话围绕黄金市场的短期与中长期指标分析展开，指出近期地缘政治风险事件对市场的影响已逐渐消化，黄金价格呈现回调后反弹的震荡行情。美元指数、实际利率下行及央行购金行为为金价提供支撑。基于此，提出了定期调仓与不定期调仓两种策略，前者通过全球黄金储备量、黄金持有量及EPU指数构建配置策略，后者则依据金价趋势与隐含波动率捕捉交易机会。</w:t>
      </w:r>
    </w:p>
    <w:p>
      <w:r>
        <w:rPr>
          <w:rFonts w:ascii="等线(中文正文)" w:hAnsi="等线(中文正文)" w:cs="等线(中文正文)" w:eastAsia="等线(中文正文)"/>
          <w:b w:val="false"/>
          <w:i w:val="false"/>
          <w:sz w:val="20"/>
        </w:rPr>
        <w:t/>
      </w:r>
    </w:p>
    <w:p>
      <w:pPr>
        <w:pStyle w:val="ab"/>
        <w:numPr>
          <w:numId w:val="11"/>
        </w:numPr>
      </w:pPr>
      <w:r>
        <w:t>30:45 黄金投资策略与回撤控制方法</w:t>
      </w:r>
    </w:p>
    <w:p>
      <w:r>
        <w:rPr>
          <w:rFonts w:ascii="等线(中文正文)" w:hAnsi="等线(中文正文)" w:cs="等线(中文正文)" w:eastAsia="等线(中文正文)"/>
          <w:b w:val="false"/>
          <w:i w:val="false"/>
          <w:sz w:val="20"/>
        </w:rPr>
        <w:t>讨论了黄金投资的三种策略：新线极差套利逻辑、不定期调仓与回撤控制。强调了期限基差信号的应用，回撤控制在风险管理和仓位调整中的作用，以及结合定期与不定期调仓的优势，以满足不同投资者的需求。</w:t>
      </w:r>
    </w:p>
    <w:p>
      <w:r>
        <w:rPr>
          <w:rFonts w:ascii="等线(中文正文)" w:hAnsi="等线(中文正文)" w:cs="等线(中文正文)" w:eastAsia="等线(中文正文)"/>
          <w:b w:val="false"/>
          <w:i w:val="false"/>
          <w:sz w:val="20"/>
        </w:rPr>
        <w:t/>
      </w:r>
    </w:p>
    <w:p>
      <w:pPr>
        <w:pStyle w:val="ab"/>
        <w:numPr>
          <w:numId w:val="12"/>
        </w:numPr>
      </w:pPr>
      <w:r>
        <w:t>34:46 保险与外资机构对中国权益资产配置分析</w:t>
      </w:r>
    </w:p>
    <w:p>
      <w:r>
        <w:rPr>
          <w:rFonts w:ascii="等线(中文正文)" w:hAnsi="等线(中文正文)" w:cs="等线(中文正文)" w:eastAsia="等线(中文正文)"/>
          <w:b w:val="false"/>
          <w:i w:val="false"/>
          <w:sz w:val="20"/>
        </w:rPr>
        <w:t>报告回顾了保险机构自一季度以来权益配置趋势，强调了低利率环境下权益配置增加，偏好稳健风格，重点配置银行、公用事业等行业。同时，外资对华资产配置谨慎但边际流出压力缓和，展现出结构性再平衡。展望未来，低利率可能持续推动险资增加权益配置，但将以稳步提升和结构性优化为主。</w:t>
      </w:r>
    </w:p>
    <w:p>
      <w:r>
        <w:rPr>
          <w:rFonts w:ascii="等线(中文正文)" w:hAnsi="等线(中文正文)" w:cs="等线(中文正文)" w:eastAsia="等线(中文正文)"/>
          <w:b w:val="false"/>
          <w:i w:val="false"/>
          <w:sz w:val="20"/>
        </w:rPr>
        <w:t/>
      </w:r>
    </w:p>
    <w:p>
      <w:pPr>
        <w:pStyle w:val="ab"/>
        <w:numPr>
          <w:numId w:val="13"/>
        </w:numPr>
      </w:pPr>
      <w:r>
        <w:t>38:53 险资与境外资金在中国股市的投资偏好分析</w:t>
      </w:r>
    </w:p>
    <w:p>
      <w:r>
        <w:rPr>
          <w:rFonts w:ascii="等线(中文正文)" w:hAnsi="等线(中文正文)" w:cs="等线(中文正文)" w:eastAsia="等线(中文正文)"/>
          <w:b w:val="false"/>
          <w:i w:val="false"/>
          <w:sz w:val="20"/>
        </w:rPr>
        <w:t>对话分析了险资在国内市场的重仓股结构，显示其偏好于金融及稳定性现金流资产。同时，探讨了境外资金通过ETF对中国资产的配置行为，指出其更倾向于宽基和均衡型工具，关注新能源、先进制造等成长型行业。</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主持的会议聚焦于A股市场、黄金投资、保险资金配置以及外资机构行为分析。强调了2025年年报及2026年一季报对市场的重要性，分析了基本面与宏观数据对市场盈利边际变化的影响，以及黄金市场因波动率上升而出现的新动态。讨论了黄金定价的三个角度：央行储备资产、投资需求及投机交易，并提供了短期与中长期指标的分析。此外，他回顾了保险资金一季度权益配置趋势，指出在低利率环境下，保险资金倾向于增加权益配置，偏好低估值、高分红及盈利稳定的资产。对于外资，他指出其对中国市场的投资仍持谨慎态度，但流出压力有所缓解，偏好宽基混合型ETF，表明外资对中国市场的结构性再平衡有积极倾向。会议还涉及了利率债和可转债的配置观点，以及通过系统化方法进行仓位管理和风险控制的策略建议，为投资者提供了深入的市场分析与策略指导。</w:t>
      </w:r>
    </w:p>
    <w:p>
      <w:r>
        <w:rPr>
          <w:rFonts w:ascii="等线(中文正文)" w:hAnsi="等线(中文正文)" w:cs="等线(中文正文)" w:eastAsia="等线(中文正文)"/>
          <w:b w:val="false"/>
          <w:i w:val="false"/>
          <w:sz w:val="20"/>
        </w:rPr>
        <w:t/>
      </w:r>
    </w:p>
    <w:p>
      <w:pPr>
        <w:pStyle w:val="a7"/>
      </w:pPr>
      <w:r>
        <w:t>要点回顾</w:t>
      </w:r>
    </w:p>
    <w:p>
      <w:pPr>
        <w:pStyle w:val="ab"/>
      </w:pPr>
      <w:r>
        <w:t>在本期会议上，我们主要关注的三个主题是什么？</w:t>
      </w:r>
    </w:p>
    <w:p>
      <w:r>
        <w:rPr>
          <w:rFonts w:ascii="等线(中文正文)" w:hAnsi="等线(中文正文)" w:cs="等线(中文正文)" w:eastAsia="等线(中文正文)"/>
          <w:b w:val="false"/>
          <w:i w:val="false"/>
          <w:sz w:val="20"/>
        </w:rPr>
        <w:t>发言人1：本期会议重点关注的主题有三个。首先，基于25年年报和26年一季报的更新，我们希望通过结合基本面与宏观数据来评估市场整体盈利的边际变化以及对投资风格节奏的影响。其次，我们将焦点放在黄金市场，由于一季度黄金波动率大幅提升，我们将深入探讨如何进行有效的资产择时和仓位管理，并提出相应的风险控制方案。最后，我们关注了保险资金和外资在一季度的边际配置变化，并分析了他们的配置行为。</w:t>
      </w:r>
    </w:p>
    <w:p>
      <w:r>
        <w:rPr>
          <w:rFonts w:ascii="等线(中文正文)" w:hAnsi="等线(中文正文)" w:cs="等线(中文正文)" w:eastAsia="等线(中文正文)"/>
          <w:b w:val="false"/>
          <w:i w:val="false"/>
          <w:sz w:val="20"/>
        </w:rPr>
        <w:t/>
      </w:r>
    </w:p>
    <w:p>
      <w:pPr>
        <w:pStyle w:val="ab"/>
      </w:pPr>
      <w:r>
        <w:t>对于A股市场，你们在五月的配置观点有何更新？</w:t>
      </w:r>
    </w:p>
    <w:p>
      <w:r>
        <w:rPr>
          <w:rFonts w:ascii="等线(中文正文)" w:hAnsi="等线(中文正文)" w:cs="等线(中文正文)" w:eastAsia="等线(中文正文)"/>
          <w:b w:val="false"/>
          <w:i w:val="false"/>
          <w:sz w:val="20"/>
        </w:rPr>
        <w:t>发言人1：五月的配置观点更新主要体现在上调了对A股盈利预期的判断。这一上调的原因在于四月份以来地缘风险落地节奏早于预期，同时三月份公布的全球经济数据并未显示出滞胀情况。因此，在内外基本面韧性超预期的背景下，我们对A股后续盈利增长持更为乐观的看法，并据此对中证800全收益未来一年的预期收益率水平进行了小幅上调。</w:t>
      </w:r>
    </w:p>
    <w:p>
      <w:r>
        <w:rPr>
          <w:rFonts w:ascii="等线(中文正文)" w:hAnsi="等线(中文正文)" w:cs="等线(中文正文)" w:eastAsia="等线(中文正文)"/>
          <w:b w:val="false"/>
          <w:i w:val="false"/>
          <w:sz w:val="20"/>
        </w:rPr>
        <w:t/>
      </w:r>
    </w:p>
    <w:p>
      <w:pPr>
        <w:pStyle w:val="ab"/>
      </w:pPr>
      <w:r>
        <w:t>盈利预期上调的主要依据是什么？</w:t>
      </w:r>
    </w:p>
    <w:p>
      <w:r>
        <w:rPr>
          <w:rFonts w:ascii="等线(中文正文)" w:hAnsi="等线(中文正文)" w:cs="等线(中文正文)" w:eastAsia="等线(中文正文)"/>
          <w:b w:val="false"/>
          <w:i w:val="false"/>
          <w:sz w:val="20"/>
        </w:rPr>
        <w:t>发言人1：盈利预期上调的核心依据是：首先，一季报显示中证800净利润TTM同比增速环比上升；其次，工业企业利润总额同比增速显著增长，表明A股正持续处于利润修复周期中。此外，四月份对于滞胀的担忧主要源于地缘风险，但从三月份的数据及市场表现来看，大多数国家并未出现滞胀情况，反而通胀低于预期，PMI水平高于市场一致预期，这支撑了市场对后续经济增长相对乐观的预期。</w:t>
      </w:r>
    </w:p>
    <w:p>
      <w:r>
        <w:rPr>
          <w:rFonts w:ascii="等线(中文正文)" w:hAnsi="等线(中文正文)" w:cs="等线(中文正文)" w:eastAsia="等线(中文正文)"/>
          <w:b w:val="false"/>
          <w:i w:val="false"/>
          <w:sz w:val="20"/>
        </w:rPr>
        <w:t/>
      </w:r>
    </w:p>
    <w:p>
      <w:pPr>
        <w:pStyle w:val="ab"/>
      </w:pPr>
      <w:r>
        <w:t>你们如何看待当前A股的估值情况？</w:t>
      </w:r>
    </w:p>
    <w:p>
      <w:r>
        <w:rPr>
          <w:rFonts w:ascii="等线(中文正文)" w:hAnsi="等线(中文正文)" w:cs="等线(中文正文)" w:eastAsia="等线(中文正文)"/>
          <w:b w:val="false"/>
          <w:i w:val="false"/>
          <w:sz w:val="20"/>
        </w:rPr>
        <w:t>发言人1：目前A股的ERP指标处于相对低位，大幅上行的可能性较小。从国内中证800的估值历史分位数来看，其处在50%到60%的中等偏高区间，还未达到极端水平。相较于全球其他重点指数，A股估值并不算贵，甚至从全球视角看还有一定的低估可能。因此，整体来看，估值这一分项水平较为稳定。</w:t>
      </w:r>
    </w:p>
    <w:p>
      <w:r>
        <w:rPr>
          <w:rFonts w:ascii="等线(中文正文)" w:hAnsi="等线(中文正文)" w:cs="等线(中文正文)" w:eastAsia="等线(中文正文)"/>
          <w:b w:val="false"/>
          <w:i w:val="false"/>
          <w:sz w:val="20"/>
        </w:rPr>
        <w:t/>
      </w:r>
    </w:p>
    <w:p>
      <w:pPr>
        <w:pStyle w:val="ab"/>
      </w:pPr>
      <w:r>
        <w:t>对于板块配置有何建议？</w:t>
      </w:r>
    </w:p>
    <w:p>
      <w:r>
        <w:rPr>
          <w:rFonts w:ascii="等线(中文正文)" w:hAnsi="等线(中文正文)" w:cs="等线(中文正文)" w:eastAsia="等线(中文正文)"/>
          <w:b w:val="false"/>
          <w:i w:val="false"/>
          <w:sz w:val="20"/>
        </w:rPr>
        <w:t>发言人1：板块配置的核心观点是以红利配置为基础，成长风格决定超额收益。根据近两年特别是2025年的有效成长因子分析，我们发现某些行业的景气度较高，如有色金属、化工、电力设备、新能源、国防军工、电子计算机和传媒等行业，这些主要是成长类行业。在估值上下行空间不大的背景下，盈利或业绩预期依然是我们关注的重点，因此预计上述行业在未来一段时间内将提供更高的行业超额收益。对于保守型投资者来说，在高景气行业可能面临极端下跌风险的情况下，配置一些低估行业的策略也是值得考虑的。</w:t>
      </w:r>
    </w:p>
    <w:p>
      <w:r>
        <w:rPr>
          <w:rFonts w:ascii="等线(中文正文)" w:hAnsi="等线(中文正文)" w:cs="等线(中文正文)" w:eastAsia="等线(中文正文)"/>
          <w:b w:val="false"/>
          <w:i w:val="false"/>
          <w:sz w:val="20"/>
        </w:rPr>
        <w:t/>
      </w:r>
    </w:p>
    <w:p>
      <w:pPr>
        <w:pStyle w:val="ab"/>
      </w:pPr>
      <w:r>
        <w:t>你们如何识别和筛选低估的行业？</w:t>
      </w:r>
    </w:p>
    <w:p>
      <w:r>
        <w:rPr>
          <w:rFonts w:ascii="等线(中文正文)" w:hAnsi="等线(中文正文)" w:cs="等线(中文正文)" w:eastAsia="等线(中文正文)"/>
          <w:b w:val="false"/>
          <w:i w:val="false"/>
          <w:sz w:val="20"/>
        </w:rPr>
        <w:t>发言人1：我们使用PPLE的框架，基于当前PD值以及市场对2026年各行业RE的一致预期，制定了筛选规则。核心点在于行业PD绝对水平不能过高，并且其实际PE水平需低于RE水平，即处于低估状态。通过这种方式，我们筛选出银行、非银、煤炭、电力、公共事业等行业，这些行业主要偏向于红利指数，从低估角度看红利风格目前处于低估水平，因此推荐以红利风格行业配置作为底仓。</w:t>
      </w:r>
    </w:p>
    <w:p>
      <w:r>
        <w:rPr>
          <w:rFonts w:ascii="等线(中文正文)" w:hAnsi="等线(中文正文)" w:cs="等线(中文正文)" w:eastAsia="等线(中文正文)"/>
          <w:b w:val="false"/>
          <w:i w:val="false"/>
          <w:sz w:val="20"/>
        </w:rPr>
        <w:t/>
      </w:r>
    </w:p>
    <w:p>
      <w:pPr>
        <w:pStyle w:val="ab"/>
      </w:pPr>
      <w:r>
        <w:t>对于A股市场，你们有什么观点？从短期视角来看，利率债的交易机会如何？</w:t>
      </w:r>
    </w:p>
    <w:p>
      <w:r>
        <w:rPr>
          <w:rFonts w:ascii="等线(中文正文)" w:hAnsi="等线(中文正文)" w:cs="等线(中文正文)" w:eastAsia="等线(中文正文)"/>
          <w:b w:val="false"/>
          <w:i w:val="false"/>
          <w:sz w:val="20"/>
        </w:rPr>
        <w:t>发言人1：关于A股市场，我们介绍了关于固定收益类资产（利率债和可转债）的配置观点。从中期视角看，我们沿用LIC模型判断利率整体处于合理范围区间内运行，无极端高估或低估情况，但绝对水平偏高，存在一定下行空间。具体到十年期国债到期收益率，最新利率大约在1.75%左右，预计2026年全年利率中枢在1.4到1.5左右，对应的利率走廊为1.78到1.85之间。在短期视角下，我们借助三种不同的短期择时模型（宏观基本面、机构资金行为、利率下降趋势）判断短线交易机会。目前，宏观基本面模型的择时观点偏向中性偏空，而机构资金交易行为模型显示出明确的偏多观点。基金公司、证券公司和保险公司的高频交易数据显示，基金公司和保险公司在长短久期上出现同步流出，但证券公司表现为短久期流出、长久期流入，整体表明短期交易机会相对纠结。</w:t>
      </w:r>
    </w:p>
    <w:p>
      <w:r>
        <w:rPr>
          <w:rFonts w:ascii="等线(中文正文)" w:hAnsi="等线(中文正文)" w:cs="等线(中文正文)" w:eastAsia="等线(中文正文)"/>
          <w:b w:val="false"/>
          <w:i w:val="false"/>
          <w:sz w:val="20"/>
        </w:rPr>
        <w:t/>
      </w:r>
    </w:p>
    <w:p>
      <w:pPr>
        <w:pStyle w:val="ab"/>
      </w:pPr>
      <w:r>
        <w:t>利率中枢的变化情况如何？</w:t>
      </w:r>
    </w:p>
    <w:p>
      <w:r>
        <w:rPr>
          <w:rFonts w:ascii="等线(中文正文)" w:hAnsi="等线(中文正文)" w:cs="等线(中文正文)" w:eastAsia="等线(中文正文)"/>
          <w:b w:val="false"/>
          <w:i w:val="false"/>
          <w:sz w:val="20"/>
        </w:rPr>
        <w:t>发言人1：最新的2026年A股盈利预期有所上调，导致利率中枢相较于上一期下调约6到7个BP，整体利率走廊有所下移。目前，市场利率尚未突破走廊上限，仍在合理估值区间内，但由于当前点位已是中性偏高，中期认为利率仍有一定的下降空间。</w:t>
      </w:r>
    </w:p>
    <w:p>
      <w:r>
        <w:rPr>
          <w:rFonts w:ascii="等线(中文正文)" w:hAnsi="等线(中文正文)" w:cs="等线(中文正文)" w:eastAsia="等线(中文正文)"/>
          <w:b w:val="false"/>
          <w:i w:val="false"/>
          <w:sz w:val="20"/>
        </w:rPr>
        <w:t/>
      </w:r>
    </w:p>
    <w:p>
      <w:pPr>
        <w:pStyle w:val="ab"/>
      </w:pPr>
      <w:r>
        <w:t>在机构资金交易行为视角下，目前价量交易趋势模型得出的利率走势观点是什么？</w:t>
      </w:r>
    </w:p>
    <w:p>
      <w:r>
        <w:rPr>
          <w:rFonts w:ascii="等线(中文正文)" w:hAnsi="等线(中文正文)" w:cs="等线(中文正文)" w:eastAsia="等线(中文正文)"/>
          <w:b w:val="false"/>
          <w:i w:val="false"/>
          <w:sz w:val="20"/>
        </w:rPr>
        <w:t>发言人1：目前，我们的价量交易趋势模型给出的利率走势观点是中性偏多。我们通过分析大量日度数据形成的利率形态，发现最新利率并未突破支撑线或阻力线。具体到各个期限，模型显示五年期YTM处于中性偏多状态，十年期上市中偏多，而30年期则是中性偏多，整体来看是偏中性偏多的走势。</w:t>
      </w:r>
    </w:p>
    <w:p>
      <w:r>
        <w:rPr>
          <w:rFonts w:ascii="等线(中文正文)" w:hAnsi="等线(中文正文)" w:cs="等线(中文正文)" w:eastAsia="等线(中文正文)"/>
          <w:b w:val="false"/>
          <w:i w:val="false"/>
          <w:sz w:val="20"/>
        </w:rPr>
        <w:t/>
      </w:r>
    </w:p>
    <w:p>
      <w:pPr>
        <w:pStyle w:val="ab"/>
      </w:pPr>
      <w:r>
        <w:t>对于可转债市场的研判情况如何？</w:t>
      </w:r>
    </w:p>
    <w:p>
      <w:r>
        <w:rPr>
          <w:rFonts w:ascii="等线(中文正文)" w:hAnsi="等线(中文正文)" w:cs="等线(中文正文)" w:eastAsia="等线(中文正文)"/>
          <w:b w:val="false"/>
          <w:i w:val="false"/>
          <w:sz w:val="20"/>
        </w:rPr>
        <w:t>发言人1：对于可转债市场，我们主要从期权估值和正股估值两个维度进行分析。目前，转债市场的期权估值指标——定价偏离度，在四月份市场回暖时有所下降，但整体上仍然处于深度负值区间，意味着转债价格整体偏贵。尽管三月份权益市场的回撤导致了一定的估值修复，但四月份市场普涨后，转债估值再次被拔高，超过九成转债的实际市场价格高于理论定价值。因此，对于期权估值，我们的判断较为谨慎。同时，正股估值方面，TD中位数指标显示正股估值正在从历史高位向中性点位回落，但目前仍居高不下，整体判断转债价格偏贵，中期配置性价比不高，建议待市场情况进一步观察并提示估值风险。</w:t>
      </w:r>
    </w:p>
    <w:p>
      <w:r>
        <w:rPr>
          <w:rFonts w:ascii="等线(中文正文)" w:hAnsi="等线(中文正文)" w:cs="等线(中文正文)" w:eastAsia="等线(中文正文)"/>
          <w:b w:val="false"/>
          <w:i w:val="false"/>
          <w:sz w:val="20"/>
        </w:rPr>
        <w:t/>
      </w:r>
    </w:p>
    <w:p>
      <w:pPr>
        <w:pStyle w:val="ab"/>
      </w:pPr>
      <w:r>
        <w:t>定期维护的固收多资产策略组合表现如何？</w:t>
      </w:r>
    </w:p>
    <w:p>
      <w:r>
        <w:rPr>
          <w:rFonts w:ascii="等线(中文正文)" w:hAnsi="等线(中文正文)" w:cs="等线(中文正文)" w:eastAsia="等线(中文正文)"/>
          <w:b w:val="false"/>
          <w:i w:val="false"/>
          <w:sz w:val="20"/>
        </w:rPr>
        <w:t>发言人1：该组合2026年前四个月的绝对收益约为1.46，超额收益相对于中债综合债大约在12个BP左右。最新的配置观点是低配转债，超配长债，低配短债。组合的业绩表现持续欢迎投资者关注。</w:t>
      </w:r>
    </w:p>
    <w:p>
      <w:r>
        <w:rPr>
          <w:rFonts w:ascii="等线(中文正文)" w:hAnsi="等线(中文正文)" w:cs="等线(中文正文)" w:eastAsia="等线(中文正文)"/>
          <w:b w:val="false"/>
          <w:i w:val="false"/>
          <w:sz w:val="20"/>
        </w:rPr>
        <w:t/>
      </w:r>
    </w:p>
    <w:p>
      <w:pPr>
        <w:pStyle w:val="ab"/>
      </w:pPr>
      <w:r>
        <w:t>对于黄金近期的研究内容是什么？</w:t>
      </w:r>
    </w:p>
    <w:p>
      <w:r>
        <w:rPr>
          <w:rFonts w:ascii="等线(中文正文)" w:hAnsi="等线(中文正文)" w:cs="等线(中文正文)" w:eastAsia="等线(中文正文)"/>
          <w:b w:val="false"/>
          <w:i w:val="false"/>
          <w:sz w:val="20"/>
        </w:rPr>
        <w:t>发言人1：我们从三个角度重新梳理了黄金定价逻辑：首先，全球央行以黄金对冲货币信用的需求，当前美元信用受挫以及世界货币体系多元化背景下，全球央行持续增持黄金，为金价提供支撑力；其次，个人和机构投资者出于资产配置、抗通胀和避险需求购买黄金现货和黄金ETF，影响投资配置逻辑的指标包括实际利率水平、通胀水平、美元指数等；最后，投机交易角度，市场内部结构失衡可能导致套利交易，特别是当期限基差较高时，套利者会买入现货卖出期货，支撑现货价格并压低期货价格。</w:t>
      </w:r>
    </w:p>
    <w:p>
      <w:r>
        <w:rPr>
          <w:rFonts w:ascii="等线(中文正文)" w:hAnsi="等线(中文正文)" w:cs="等线(中文正文)" w:eastAsia="等线(中文正文)"/>
          <w:b w:val="false"/>
          <w:i w:val="false"/>
          <w:sz w:val="20"/>
        </w:rPr>
        <w:t/>
      </w:r>
    </w:p>
    <w:p>
      <w:pPr>
        <w:pStyle w:val="ab"/>
      </w:pPr>
      <w:r>
        <w:t>避险情绪、美元指数和实际利率对黄金配置需求的影响如何？</w:t>
      </w:r>
    </w:p>
    <w:p>
      <w:r>
        <w:rPr>
          <w:rFonts w:ascii="等线(中文正文)" w:hAnsi="等线(中文正文)" w:cs="等线(中文正文)" w:eastAsia="等线(中文正文)"/>
          <w:b w:val="false"/>
          <w:i w:val="false"/>
          <w:sz w:val="20"/>
        </w:rPr>
        <w:t>发言人1：短期避险指标方面，经济政策不确定性（EPU）和地缘政治风险指数（GPR）在四月份下降，表明随着谈判进程和时间推移，市场对于地缘政治风险冲击的避险情绪有所缓解。美元指数和实际利率方面，四月份受油价影响，美元指数震荡下调，实际利率水平也有所下降。这些因素共同作用于黄金的投资配置需求。</w:t>
      </w:r>
    </w:p>
    <w:p>
      <w:r>
        <w:rPr>
          <w:rFonts w:ascii="等线(中文正文)" w:hAnsi="等线(中文正文)" w:cs="等线(中文正文)" w:eastAsia="等线(中文正文)"/>
          <w:b w:val="false"/>
          <w:i w:val="false"/>
          <w:sz w:val="20"/>
        </w:rPr>
        <w:t/>
      </w:r>
    </w:p>
    <w:p>
      <w:pPr>
        <w:pStyle w:val="ab"/>
      </w:pPr>
      <w:r>
        <w:t>黄金ETF持有量在四月份的情况如何？</w:t>
      </w:r>
    </w:p>
    <w:p>
      <w:r>
        <w:rPr>
          <w:rFonts w:ascii="等线(中文正文)" w:hAnsi="等线(中文正文)" w:cs="等线(中文正文)" w:eastAsia="等线(中文正文)"/>
          <w:b w:val="false"/>
          <w:i w:val="false"/>
          <w:sz w:val="20"/>
        </w:rPr>
        <w:t>发言人1：在四月份，全球最大的黄金ETF——SDDR黄金ETF的持有量相对三月末下降了大约1%，整体保持平稳。资金流出速度相较于三月份明显放缓。</w:t>
      </w:r>
    </w:p>
    <w:p>
      <w:r>
        <w:rPr>
          <w:rFonts w:ascii="等线(中文正文)" w:hAnsi="等线(中文正文)" w:cs="等线(中文正文)" w:eastAsia="等线(中文正文)"/>
          <w:b w:val="false"/>
          <w:i w:val="false"/>
          <w:sz w:val="20"/>
        </w:rPr>
        <w:t/>
      </w:r>
    </w:p>
    <w:p>
      <w:pPr>
        <w:pStyle w:val="ab"/>
      </w:pPr>
      <w:r>
        <w:t>期限基差这一短期指标反映了什么情况？</w:t>
      </w:r>
    </w:p>
    <w:p>
      <w:r>
        <w:rPr>
          <w:rFonts w:ascii="等线(中文正文)" w:hAnsi="等线(中文正文)" w:cs="等线(中文正文)" w:eastAsia="等线(中文正文)"/>
          <w:b w:val="false"/>
          <w:i w:val="false"/>
          <w:sz w:val="20"/>
        </w:rPr>
        <w:t>发言人1：期限基差是指期货价格与现货价格之间的差值，在经过60日移动平滑处理后，其最新水平位于过去三年66%分位数，意味着市场对于短期趋势预期有所改善，但尚未出现明确的反转信号。</w:t>
      </w:r>
    </w:p>
    <w:p>
      <w:r>
        <w:rPr>
          <w:rFonts w:ascii="等线(中文正文)" w:hAnsi="等线(中文正文)" w:cs="等线(中文正文)" w:eastAsia="等线(中文正文)"/>
          <w:b w:val="false"/>
          <w:i w:val="false"/>
          <w:sz w:val="20"/>
        </w:rPr>
        <w:t/>
      </w:r>
    </w:p>
    <w:p>
      <w:pPr>
        <w:pStyle w:val="ab"/>
      </w:pPr>
      <w:r>
        <w:t>隐含波动率这一交易面指标在四月份的变化是什么？</w:t>
      </w:r>
    </w:p>
    <w:p>
      <w:r>
        <w:rPr>
          <w:rFonts w:ascii="等线(中文正文)" w:hAnsi="等线(中文正文)" w:cs="等线(中文正文)" w:eastAsia="等线(中文正文)"/>
          <w:b w:val="false"/>
          <w:i w:val="false"/>
          <w:sz w:val="20"/>
        </w:rPr>
        <w:t>发言人1：四月份，隐含波动率从高位持续下降，到4月末时约为27%，相比三月末的36%有所减少，但仍处于20年以来的较高位置。</w:t>
      </w:r>
    </w:p>
    <w:p>
      <w:r>
        <w:rPr>
          <w:rFonts w:ascii="等线(中文正文)" w:hAnsi="等线(中文正文)" w:cs="等线(中文正文)" w:eastAsia="等线(中文正文)"/>
          <w:b w:val="false"/>
          <w:i w:val="false"/>
          <w:sz w:val="20"/>
        </w:rPr>
        <w:t/>
      </w:r>
    </w:p>
    <w:p>
      <w:pPr>
        <w:pStyle w:val="ab"/>
      </w:pPr>
      <w:r>
        <w:t>从中长期维度看，有哪些值得关注的黄金储备趋势？</w:t>
      </w:r>
    </w:p>
    <w:p>
      <w:r>
        <w:rPr>
          <w:rFonts w:ascii="等线(中文正文)" w:hAnsi="等线(中文正文)" w:cs="等线(中文正文)" w:eastAsia="等线(中文正文)"/>
          <w:b w:val="false"/>
          <w:i w:val="false"/>
          <w:sz w:val="20"/>
        </w:rPr>
        <w:t>发言人1：中长期维度下，中国和全球官方黄金储备均维持增持趋势，尤其是中国在4月末增加了约五吨黄金储备，这是近期值得关注的变化。同时，构建的中长期估值指标显示，以美元计价的黄金与储备货币M2比值的分位数水平连续下降，进一步放宽。</w:t>
      </w:r>
    </w:p>
    <w:p>
      <w:r>
        <w:rPr>
          <w:rFonts w:ascii="等线(中文正文)" w:hAnsi="等线(中文正文)" w:cs="等线(中文正文)" w:eastAsia="等线(中文正文)"/>
          <w:b w:val="false"/>
          <w:i w:val="false"/>
          <w:sz w:val="20"/>
        </w:rPr>
        <w:t/>
      </w:r>
    </w:p>
    <w:p>
      <w:pPr>
        <w:pStyle w:val="ab"/>
      </w:pPr>
      <w:r>
        <w:t>综合短期和中长期指标，对金价走势有何看法？</w:t>
      </w:r>
    </w:p>
    <w:p>
      <w:r>
        <w:rPr>
          <w:rFonts w:ascii="等线(中文正文)" w:hAnsi="等线(中文正文)" w:cs="等线(中文正文)" w:eastAsia="等线(中文正文)"/>
          <w:b w:val="false"/>
          <w:i w:val="false"/>
          <w:sz w:val="20"/>
        </w:rPr>
        <w:t>发言人1：近期随着美伊冲突进程及地缘政治风险事件的影响逐渐消化，金价回归理性。美元指数和实际利率下行、央行购金行为持续等因素给予金价支撑。尽管隐含波动率仍处高位，但情绪有所缓解，预计短期金价呈偏震荡偏多趋势。</w:t>
      </w:r>
    </w:p>
    <w:p>
      <w:r>
        <w:rPr>
          <w:rFonts w:ascii="等线(中文正文)" w:hAnsi="等线(中文正文)" w:cs="等线(中文正文)" w:eastAsia="等线(中文正文)"/>
          <w:b w:val="false"/>
          <w:i w:val="false"/>
          <w:sz w:val="20"/>
        </w:rPr>
        <w:t/>
      </w:r>
    </w:p>
    <w:p>
      <w:pPr>
        <w:pStyle w:val="ab"/>
      </w:pPr>
      <w:r>
        <w:t>如何利用上述指标构建择时策略？</w:t>
      </w:r>
    </w:p>
    <w:p>
      <w:r>
        <w:rPr>
          <w:rFonts w:ascii="等线(中文正文)" w:hAnsi="等线(中文正文)" w:cs="等线(中文正文)" w:eastAsia="等线(中文正文)"/>
          <w:b w:val="false"/>
          <w:i w:val="false"/>
          <w:sz w:val="20"/>
        </w:rPr>
        <w:t>发言人1：构建了三种择时策略：定期调仓策略主要基于低频指标如黄金储备量、黄金ETF持有量及EPU指数历史分位数进行配置；不定期调仓策略结合了引波和趋势逻辑，以及期限基差套利逻辑；回撤控制策略则根据波动率管理仓位，以控制组合的最大回撤风险。</w:t>
      </w:r>
    </w:p>
    <w:p>
      <w:r>
        <w:rPr>
          <w:rFonts w:ascii="等线(中文正文)" w:hAnsi="等线(中文正文)" w:cs="等线(中文正文)" w:eastAsia="等线(中文正文)"/>
          <w:b w:val="false"/>
          <w:i w:val="false"/>
          <w:sz w:val="20"/>
        </w:rPr>
        <w:t/>
      </w:r>
    </w:p>
    <w:p>
      <w:pPr>
        <w:pStyle w:val="ab"/>
      </w:pPr>
      <w:r>
        <w:t>回撤控制组合在交易策略中的特点是什么？</w:t>
      </w:r>
    </w:p>
    <w:p>
      <w:r>
        <w:rPr>
          <w:rFonts w:ascii="等线(中文正文)" w:hAnsi="等线(中文正文)" w:cs="等线(中文正文)" w:eastAsia="等线(中文正文)"/>
          <w:b w:val="false"/>
          <w:i w:val="false"/>
          <w:sz w:val="20"/>
        </w:rPr>
        <w:t>发言人1：回撤控制组合的主要目标是进行风险控制，因此单从性价比角度看，其换手率可能较高，不是特别优秀。在叠加择时与回撤控制时，需要权衡收益和风险。如果对回撤控制要求较高，可以考虑采用回撤控制思路。</w:t>
      </w:r>
    </w:p>
    <w:p>
      <w:r>
        <w:rPr>
          <w:rFonts w:ascii="等线(中文正文)" w:hAnsi="等线(中文正文)" w:cs="等线(中文正文)" w:eastAsia="等线(中文正文)"/>
          <w:b w:val="false"/>
          <w:i w:val="false"/>
          <w:sz w:val="20"/>
        </w:rPr>
        <w:t/>
      </w:r>
    </w:p>
    <w:p>
      <w:pPr>
        <w:pStyle w:val="ab"/>
      </w:pPr>
      <w:r>
        <w:t>定期调仓组合和不定期调整组合有何异同？</w:t>
      </w:r>
    </w:p>
    <w:p>
      <w:r>
        <w:rPr>
          <w:rFonts w:ascii="等线(中文正文)" w:hAnsi="等线(中文正文)" w:cs="等线(中文正文)" w:eastAsia="等线(中文正文)"/>
          <w:b w:val="false"/>
          <w:i w:val="false"/>
          <w:sz w:val="20"/>
        </w:rPr>
        <w:t>发言人1：定期调仓组合收益相对一般，但换手率低；而不定期调整组合年化收益领先，换手率高且信号二元化，但不适合大规模资金。结合两者优点，可通过仓位分配方式，根据目标波动或换手率调整比例，形成配置盘，并结合官方黄金储备、黄金ETF资金流入和经济政策不确定性等因素进行调仓。</w:t>
      </w:r>
    </w:p>
    <w:p>
      <w:r>
        <w:rPr>
          <w:rFonts w:ascii="等线(中文正文)" w:hAnsi="等线(中文正文)" w:cs="等线(中文正文)" w:eastAsia="等线(中文正文)"/>
          <w:b w:val="false"/>
          <w:i w:val="false"/>
          <w:sz w:val="20"/>
        </w:rPr>
        <w:t/>
      </w:r>
    </w:p>
    <w:p>
      <w:pPr>
        <w:pStyle w:val="ab"/>
      </w:pPr>
      <w:r>
        <w:t>对于保险资金配置和海外资金动向的研究内容有哪些？保险机构行业配置有何特点？</w:t>
      </w:r>
    </w:p>
    <w:p>
      <w:r>
        <w:rPr>
          <w:rFonts w:ascii="等线(中文正文)" w:hAnsi="等线(中文正文)" w:cs="等线(中文正文)" w:eastAsia="等线(中文正文)"/>
          <w:b w:val="false"/>
          <w:i w:val="false"/>
          <w:sz w:val="20"/>
        </w:rPr>
        <w:t>发言人1：研究内容分为两部分：一是分析一季度以来保险机构权益配置趋势、行业偏好及个股加仓情况；二是观察外资配置行为，从境外中国股票ETF资金流向和陆股通持仓变化两个角度分析外资对中国股票的配置态度。总体来看，险资权益配置力度持续增强，偏好低估值、高分红及盈利稳定的资产，如银行、公用事业、交通运输、电力设备和电子行业。从一季度变化看，明显增配家用电器、食品饮料、煤炭和机械设备等行业，减配通信、有色金属以及银行、房地产、传媒等行业。</w:t>
      </w:r>
    </w:p>
    <w:p>
      <w:r>
        <w:rPr>
          <w:rFonts w:ascii="等线(中文正文)" w:hAnsi="等线(中文正文)" w:cs="等线(中文正文)" w:eastAsia="等线(中文正文)"/>
          <w:b w:val="false"/>
          <w:i w:val="false"/>
          <w:sz w:val="20"/>
        </w:rPr>
        <w:t/>
      </w:r>
    </w:p>
    <w:p>
      <w:pPr>
        <w:pStyle w:val="ab"/>
      </w:pPr>
      <w:r>
        <w:t>保险机构加仓和减仓的个股有哪些？境外资金对中国资产配置的情况如何？</w:t>
      </w:r>
    </w:p>
    <w:p>
      <w:r>
        <w:rPr>
          <w:rFonts w:ascii="等线(中文正文)" w:hAnsi="等线(中文正文)" w:cs="等线(中文正文)" w:eastAsia="等线(中文正文)"/>
          <w:b w:val="false"/>
          <w:i w:val="false"/>
          <w:sz w:val="20"/>
        </w:rPr>
        <w:t>发言人1：加仓集中在银行、家电、公用事业、食品饮料及部分交通运输标的，如美的集团、兴业银行等；减仓主要涉及浦发银行、农业银行、招商银行等银行股，以及中国电信、中国联通等通信股，还有有色金属和电力设备标的。2026年4月，境外资金整体呈现小幅净流出但压力缓和，更偏好大盘混合型和宽基混合型ETF。陆股通持仓市值较上季度小幅回落，仍集中在电力设备、电子、有色金属、银行及机械设备等行业，配置主线关注景气成长、流动性龙头和部分高股息防御资产。</w:t>
      </w:r>
    </w:p>
    <w:p>
      <w:r>
        <w:rPr>
          <w:rFonts w:ascii="等线(中文正文)" w:hAnsi="等线(中文正文)" w:cs="等线(中文正文)" w:eastAsia="等线(中文正文)"/>
          <w:b w:val="false"/>
          <w:i w:val="false"/>
          <w:sz w:val="20"/>
        </w:rPr>
        <w:t/>
      </w:r>
    </w:p>
    <w:p>
      <w:pPr>
        <w:pStyle w:val="ab"/>
      </w:pPr>
      <w:r>
        <w:t>当前机构资金配置中国权益资产的核心特征是什么？</w:t>
      </w:r>
    </w:p>
    <w:p>
      <w:r>
        <w:rPr>
          <w:rFonts w:ascii="等线(中文正文)" w:hAnsi="等线(中文正文)" w:cs="等线(中文正文)" w:eastAsia="等线(中文正文)"/>
          <w:b w:val="false"/>
          <w:i w:val="false"/>
          <w:sz w:val="20"/>
        </w:rPr>
        <w:t>发言人1：核心特征有两点：一是保险资金在低利率和资产荒背景下持续提升权益配置，风格稳健；二是外资对中国资产配置仍偏谨慎，但边际流出压力有所缓和，呈现结构性再平衡特征。</w:t>
      </w:r>
    </w:p>
    <w:p>
      <w:r>
        <w:rPr>
          <w:rFonts w:ascii="等线(中文正文)" w:hAnsi="等线(中文正文)" w:cs="等线(中文正文)" w:eastAsia="等线(中文正文)"/>
          <w:b w:val="false"/>
          <w:i w:val="false"/>
          <w:sz w:val="20"/>
        </w:rPr>
        <w:t/>
      </w:r>
    </w:p>
    <w:p>
      <w:pPr>
        <w:pStyle w:val="ab"/>
      </w:pPr>
      <w:r>
        <w:t>保险机构的重仓股结构是怎样的？</w:t>
      </w:r>
    </w:p>
    <w:p>
      <w:r>
        <w:rPr>
          <w:rFonts w:ascii="等线(中文正文)" w:hAnsi="等线(中文正文)" w:cs="等线(中文正文)" w:eastAsia="等线(中文正文)"/>
          <w:b w:val="false"/>
          <w:i w:val="false"/>
          <w:sz w:val="20"/>
        </w:rPr>
        <w:t>发言人1：从持仓绝对市值看，险资主要重仓于浦发银行、兴业银行、招商银行、农业银行和长江电力等公司；从持仓占流通股比例看，中小市值公司、区域金融地产、医药和交运标的持股占比较高，体现了核心资产配置与部分估值较低、股权结构稳定且现金流明确的公司形成较高持股占比。</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