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招商证券 - A股预期上调，外资回流 - 5月大类资产配置展望 260506_原文</w:t>
      </w:r>
    </w:p>
    <w:p>
      <w:pPr>
        <w:jc w:val="center"/>
      </w:pPr>
      <w:r>
        <w:rPr>
          <w:rFonts w:ascii="等线(中文正文)" w:hAnsi="等线(中文正文)" w:cs="等线(中文正文)" w:eastAsia="等线(中文正文)"/>
          <w:b w:val="false"/>
          <w:i w:val="false"/>
          <w:sz w:val="20"/>
        </w:rPr>
        <w:t>2026年05月06日 22:08</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尊敬的各位投资者，大家晚上好。欢迎大家每月定期参加我们的资产配置展望会议。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00:08</w:t>
      </w:r>
    </w:p>
    <w:p>
      <w:r>
        <w:rPr>
          <w:rFonts w:ascii="等线(中文正文)" w:hAnsi="等线(中文正文)" w:cs="等线(中文正文)" w:eastAsia="等线(中文正文)"/>
          <w:b w:val="false"/>
          <w:i w:val="false"/>
          <w:sz w:val="20"/>
        </w:rPr>
        <w:t>本期的话正好是我们的A股的一季报和去年的年报的一个更新的一个时间节点，所以我们也借此机会重新更新我们对于大类资产，包括机构行为的一个跟踪的一个情况。本期的重点的话可能有三个主题。第一个的话，因为25年的年报报和26年的一季报是有这个更新，所以我们希望从基本面结合宏观的数据来去评估整个市场整体的一个盈利的一个边际变化，以及对于风格的一个节奏的一个影响。然后第二块的话，我们的一个重点可能还是聚焦于黄斌，因为整个从一季度开始，我们观察到的是黄金的一个波动率的一个大幅的一个提升。所以在于如何有效的去进行师资择时和仓位管理上，我们进行了一个一些相应的系统化的梳理，也提出了一些仓位管理的风险控制的一些方案，供各位投资者作为一个参考。然后第三方面的内容的话，我们会聚焦于机构的配置行为，重点的话是关注了保险资金，也包括了外资的资金，当前它的一个一季度的一个边际的一个配置的变化，以及我们对此的一个理解。接下来的话由我的同事来为各位投资者做一个详细的一个介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01:30</w:t>
      </w:r>
    </w:p>
    <w:p>
      <w:r>
        <w:rPr>
          <w:rFonts w:ascii="等线(中文正文)" w:hAnsi="等线(中文正文)" w:cs="等线(中文正文)" w:eastAsia="等线(中文正文)"/>
          <w:b w:val="false"/>
          <w:i w:val="false"/>
          <w:sz w:val="20"/>
        </w:rPr>
        <w:t>好的，我这边先给各位投资者介绍一下我们关于五月份A股的一个配置观点。那整体的观点上面来看的话，我们目前五月的一个展望其实是叫四月份的展望，有有一部分的更新。核心的一个更新的点在于我们上调了对于A股的一个盈利的预期。那么为什么会有这样的一个盈利期的上涨？其实核心还是在于四月份以来整体的一个地缘风，且从落地的节奏上面来看是要早于预期的。而与此同时我们也观察到就是三月份全球的一些经济数据披在四月份披露出来之后，之前所担忧的相应的一些滞胀的一个情况，其实并没有这样的出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02:20</w:t>
      </w:r>
    </w:p>
    <w:p>
      <w:r>
        <w:rPr>
          <w:rFonts w:ascii="等线(中文正文)" w:hAnsi="等线(中文正文)" w:cs="等线(中文正文)" w:eastAsia="等线(中文正文)"/>
          <w:b w:val="false"/>
          <w:i w:val="false"/>
          <w:sz w:val="20"/>
        </w:rPr>
        <w:t>所以我们整体上的观点就是认为在整个的一个内外基本面韧性超预期的情况下面，实际上我们可以对A股后续的一个盈利的一个增长，是有一定的可以上适当的进行一些乐观的上调。因此我们结合整体的一个估值，还有股息率以及股本的一个变化的一个预期。综合来看的话，对于中证800全收益的一个未来一年的一个预期的收益率的水平也进行了一个小幅的上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02:56</w:t>
      </w:r>
    </w:p>
    <w:p>
      <w:r>
        <w:rPr>
          <w:rFonts w:ascii="等线(中文正文)" w:hAnsi="等线(中文正文)" w:cs="等线(中文正文)" w:eastAsia="等线(中文正文)"/>
          <w:b w:val="false"/>
          <w:i w:val="false"/>
          <w:sz w:val="20"/>
        </w:rPr>
        <w:t>那么我们分项来看的话，首先是估值面，估值面目前依旧维持此前的一个观点，就是当前A股的一个ERP指标是处于相对一个低相对的一个低位。就是说大幅的后续再拉拉升这个估值的可能性其实是比较小。但是如果我们从就国内的中证800的1个估值，它的历史的一个分位数上面来看的话，其实仅仅处在50%到60%这样的一个中等偏高的区间，还没有到极致的一个水平。而且如果我们把A股的好主要的一些指数的估值分位数和全球的重点指数的一个估值分位数去看的话，其实A股目前这个估值仍然没有处于一个非常贵的一个水平。甚至从全球的一个视角上面来讲，还有一定的低估的可能。所以我们整体的一个观点就是，虽然目前估值大幅上行的可能性较小，但是整体上大幅下降的一个可能性也比较小。因此估值这一分项其实整体的一个水平是比较稳定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04:11</w:t>
      </w:r>
    </w:p>
    <w:p>
      <w:r>
        <w:rPr>
          <w:rFonts w:ascii="等线(中文正文)" w:hAnsi="等线(中文正文)" w:cs="等线(中文正文)" w:eastAsia="等线(中文正文)"/>
          <w:b w:val="false"/>
          <w:i w:val="false"/>
          <w:sz w:val="20"/>
        </w:rPr>
        <w:t>正如我们之前所说的，就是我们核心的一个观点的改变的主要是在对于盈利预期的上调上面。三月份我们观察到的一个现象就是，首先从一季报的一个情况上面来看的话，中证800的1个净利润TTM的一个同比增速是4.7%，其实较年报的一个水平有一个环比上行的一个态势。而且更重要的一点是，如果我们去看啊国内的一个工业企业的一个利润总额同比。但是我们可以看到3月份的一个累计同比增速达到了15.5%，是一个非常大的一个涨幅。而且如果我们从历史的这样的演变趋势上面来看的话，可以很明显的看到从2024年的一个下半年以来，目前A股是持续的处于一个利润修复的这样的一个周期当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05:08</w:t>
      </w:r>
    </w:p>
    <w:p>
      <w:r>
        <w:rPr>
          <w:rFonts w:ascii="等线(中文正文)" w:hAnsi="等线(中文正文)" w:cs="等线(中文正文)" w:eastAsia="等线(中文正文)"/>
          <w:b w:val="false"/>
          <w:i w:val="false"/>
          <w:sz w:val="20"/>
        </w:rPr>
        <w:t>另外一方面，我们在四月份为什么会对盈利有相对谨慎的一个预期，核心还是在于这个地缘风险给全球所带来的一个滞胀的一个预期。实际上从三月份的一个数据上面来看，全球的主要国家除了日本之外，大部分都没有发生所谓的一个滞涨的情况。甚至我们说出现了相相对反向的一些情况，就是我们可以看到比如欧元区或者韩国，他们的一个通胀其实是实际通胀是低于我们通胀的一个预期。而实际的这样的一个PMI的一个水平是明显的高于市场的一个一致预期。所以在这种滞胀情况没有明显的发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06:00</w:t>
      </w:r>
    </w:p>
    <w:p>
      <w:r>
        <w:rPr>
          <w:rFonts w:ascii="等线(中文正文)" w:hAnsi="等线(中文正文)" w:cs="等线(中文正文)" w:eastAsia="等线(中文正文)"/>
          <w:b w:val="false"/>
          <w:i w:val="false"/>
          <w:sz w:val="20"/>
        </w:rPr>
        <w:t>同时我们从市场的一个表现上面来看，也基本验证了这样的一个观点。所以我们认为目前市场对于后续经济增长相对乐观的这样的一个预期，实际上是得到验证的，是从基本面以及市场表面市场表现上来看，得到双炎症。所以我们认为是可以适度的去上调A股后续的这样的一个盈利预期的。因此我们综合来看，就是形成了我们说对于后续A股整体的观点维持偏乐观的这样的一个态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06:36</w:t>
      </w:r>
    </w:p>
    <w:p>
      <w:r>
        <w:rPr>
          <w:rFonts w:ascii="等线(中文正文)" w:hAnsi="等线(中文正文)" w:cs="等线(中文正文)" w:eastAsia="等线(中文正文)"/>
          <w:b w:val="false"/>
          <w:i w:val="false"/>
          <w:sz w:val="20"/>
        </w:rPr>
        <w:t>那么从板块的一个情况上面来看，因为一季报和这个年报已经披露完毕，所以我们可以相应的去跟踪一些板，更新一下板块的观点。那我们对于板块的核心的配置观点是啊以红利配置为底，成长风格决定超额。其实很简单来讲，就是我们认为两头配的一个策略，其实还是很有可能在后续维持一个有效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07:06</w:t>
      </w:r>
    </w:p>
    <w:p>
      <w:r>
        <w:rPr>
          <w:rFonts w:ascii="等线(中文正文)" w:hAnsi="等线(中文正文)" w:cs="等线(中文正文)" w:eastAsia="等线(中文正文)"/>
          <w:b w:val="false"/>
          <w:i w:val="false"/>
          <w:sz w:val="20"/>
        </w:rPr>
        <w:t>为什么这么说？首先从景气度上面来讲的话，我们跟踪了近两年，尤其是2025年的核心的一些有效的一个成长的因子。我们可以看到像这个RE的一个环境变化，ttm净利润增速，ttm投资增速、营业收入同比增速。他们的在2025年对于行业的一个选择的一个IC的值是非常高的。也就是说至少在25年，如果你选择那些RE改善成本比较高，净利润增速和营收增速比较高的这样的一个行业，你就能获得一个比较好的一个行业，是行业上面的一个阿尔法。目前从后续的一个情况上面来看的话，我们认为在整个估值可能不上不下的这样的一个背景下面，盈利或者说业绩的一个预期依然是我们核心关注的一个焦点。所以说相应的这三个比较有效的一个紧缩，因我们预期在后续仍然有比较好的一个行业选择的一个阿尔法的一个表现。那么从最新披露的不论是一季度还是25财年的一个情况上面来看，我们汇总了一下大概有六七个行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08:25</w:t>
      </w:r>
    </w:p>
    <w:p>
      <w:r>
        <w:rPr>
          <w:rFonts w:ascii="等线(中文正文)" w:hAnsi="等线(中文正文)" w:cs="等线(中文正文)" w:eastAsia="等线(中文正文)"/>
          <w:b w:val="false"/>
          <w:i w:val="false"/>
          <w:sz w:val="20"/>
        </w:rPr>
        <w:t>我们认为目前的整个的一个综合的增景气度因子是比较高的。比如说有色金属，就是化工、电力设备、新能源、国防军工、电子计算机和传媒。总体来看我们可以看到基本上这些都是啊成长类的一个行业。当然有色和这个化工是的周期的。那么我们相应来讲的话，就是认为目前这些主要以成长风格行业为主这样的一个配置，应该能够在未来的一段时间给出更高的一个行业的一个超额，这是从景气度的一个视角。当然我们也知道，其实如果说后续还有一定的一个地缘风险的发生，可能景气度的这些高景气的这些行业，可能有一个极端的一个下跌的风险。那么这时候我如果相对保守一点投资者来讲，肯定更愿意去配置一些以低估为主的一个行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09:26</w:t>
      </w:r>
    </w:p>
    <w:p>
      <w:r>
        <w:rPr>
          <w:rFonts w:ascii="等线(中文正文)" w:hAnsi="等线(中文正文)" w:cs="等线(中文正文)" w:eastAsia="等线(中文正文)"/>
          <w:b w:val="false"/>
          <w:i w:val="false"/>
          <w:sz w:val="20"/>
        </w:rPr>
        <w:t>我们认为同样我是有一些方法去识别这样的一个低估的一个行业。我们使用的方式就是PPLE的这样的一个框架。从当前的截止4月30号的一个PD值，以及市场对2026年各行业的一个RE的一个一致预期的一个情况上面来看，我们筛选了制定一些规则去筛选一些低估的行业。那么筛选的规则核心的点在于，首先它的一个PD的一个绝对水平不能太高。第二就是至少它在这个RE和PB的一个回归现实之上。也就是说它所对应的一个RE水平，其实实际的一个PE水平就低估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10:12</w:t>
      </w:r>
    </w:p>
    <w:p>
      <w:r>
        <w:rPr>
          <w:rFonts w:ascii="等线(中文正文)" w:hAnsi="等线(中文正文)" w:cs="等线(中文正文)" w:eastAsia="等线(中文正文)"/>
          <w:b w:val="false"/>
          <w:i w:val="false"/>
          <w:sz w:val="20"/>
        </w:rPr>
        <w:t>那通过这种方式，我们去筛选下来的一个行业，其实主要包括了银行、非银、煤炭、电力、公共事业。其实从这些行业的一个分布上面来看，大部分都是偏向于红利的这样一个指数，所以我们认为从低估的一个视角上面来看当前的一个红利风格其实是啊处于一个低估的一个水平。因此总的来看的话，如果后续我们要维持一个比较好的或者比较稳健的行业组合的话，我们依然推荐以红利的这样的一个风格行业配置作为一个我们的一个底仓。然后如我们上一页所讲到的，成长类的一些行业去挖掘超额这样的一个策略，很有可能我们认为在五月份，甚至是在这一个二季度，有比较好的这样的一个组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11:12</w:t>
      </w:r>
    </w:p>
    <w:p>
      <w:r>
        <w:rPr>
          <w:rFonts w:ascii="等线(中文正文)" w:hAnsi="等线(中文正文)" w:cs="等线(中文正文)" w:eastAsia="等线(中文正文)"/>
          <w:b w:val="false"/>
          <w:i w:val="false"/>
          <w:sz w:val="20"/>
        </w:rPr>
        <w:t>好的，我们这边的关于A股的一个观点就介绍到这儿。那下接下来由我同事介绍利率债和可转债的一个配置观点。好的，谢谢宇哥。各位投资者晚上好。接下来的话由我这边给大家介绍一下，我们关于这个固定收益类大类资产的一个热度配置观点。也是分成利率债和可转债两个方面。然后首先对于利率债资产的话，我们还是从两个视角。一方面的话是从一个利率的中枢模型的视角去观察它一个偏中长期角度下的一个定价合理性。然后另外一方面的话，我们会从三种不同的短期的择时的模型的视角出发，去观察市场上目前短线的一些交易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11:57</w:t>
      </w:r>
    </w:p>
    <w:p>
      <w:r>
        <w:rPr>
          <w:rFonts w:ascii="等线(中文正文)" w:hAnsi="等线(中文正文)" w:cs="等线(中文正文)" w:eastAsia="等线(中文正文)"/>
          <w:b w:val="false"/>
          <w:i w:val="false"/>
          <w:sz w:val="20"/>
        </w:rPr>
        <w:t>首先是从这个中期视角来看的话，我们仍然还是去沿用这个LIC的这个模型。目前总的来说我们判断就是说直接说结论的话是中期来看利率整体还是处于一个合理的范围区间内在运行，就是没有出现非常极端的估值的高估或者低估。但是还是处于一个中性偏高的这样的一个绝对水平，会有一定的下行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12:21</w:t>
      </w:r>
    </w:p>
    <w:p>
      <w:r>
        <w:rPr>
          <w:rFonts w:ascii="等线(中文正文)" w:hAnsi="等线(中文正文)" w:cs="等线(中文正文)" w:eastAsia="等线(中文正文)"/>
          <w:b w:val="false"/>
          <w:i w:val="false"/>
          <w:sz w:val="20"/>
        </w:rPr>
        <w:t>那么我们的模型的话目前测算下来，比如说以十年期国债到期收益率为例的话，那最近几天的这个最新利率其实大概是在1.75。然后像今天的这个收盘的利率大概是在1.77左右。然后我们测算2026年就是说全年的一个利率中枢的话，大概是在两种不同数据口径下，分别是在1.4到1.5左右。然后对应的这个利率的走廊大概是在1.78到1.85之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12:49</w:t>
      </w:r>
    </w:p>
    <w:p>
      <w:r>
        <w:rPr>
          <w:rFonts w:ascii="等线(中文正文)" w:hAnsi="等线(中文正文)" w:cs="等线(中文正文)" w:eastAsia="等线(中文正文)"/>
          <w:b w:val="false"/>
          <w:i w:val="false"/>
          <w:sz w:val="20"/>
        </w:rPr>
        <w:t>总的来说的话，首先去从这个边际变化上来看的话，最新的2026年A股的盈利预期的数据，实际上目前是有所上调的。大约会比我们之前三月底的时候是上传了大概140分之7，就大概1.4左右。但是因为2025年，因为它的这个财报已经披露了，然后它的实际的盈利预期又是低于我们之前早前的预期的。所以最后综合的会导致我们测算的这个利率中枢，相对于上一期来说，其实是有大概6到7个BP左右的下调的。所以也就导致整体的一个利率走廊的下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13:24</w:t>
      </w:r>
    </w:p>
    <w:p>
      <w:r>
        <w:rPr>
          <w:rFonts w:ascii="等线(中文正文)" w:hAnsi="等线(中文正文)" w:cs="等线(中文正文)" w:eastAsia="等线(中文正文)"/>
          <w:b w:val="false"/>
          <w:i w:val="false"/>
          <w:sz w:val="20"/>
        </w:rPr>
        <w:t>然后第二点的话，如果是从目前绝对的利率水平上来看的话，那么走廊在下调了6到7个BP之后，因为最新的市场数据是在大概1.75左右，然后截止最新是1.77，然后整体我们走廊的上限是大概1.78到1.85。也就是说目前定价仍然还是在一个接近于走廊上界，但是没有出现一个显著的突破的这样的一个点位。尚且还算是一个合理的估值区间。但是，因为它的当前的一个点位已经是中性偏高的了，所以中期来看我们觉得利率还是会有一定的下降空间的。这个是我们中期模型的一个偏长期的一个视角。在短期视角下的话，我们整体上是借助了三种不同的模型，分别是宏观基本面、机构的资金行为。然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14:20</w:t>
      </w:r>
    </w:p>
    <w:p>
      <w:r>
        <w:rPr>
          <w:rFonts w:ascii="等线(中文正文)" w:hAnsi="等线(中文正文)" w:cs="等线(中文正文)" w:eastAsia="等线(中文正文)"/>
          <w:b w:val="false"/>
          <w:i w:val="false"/>
          <w:sz w:val="20"/>
        </w:rPr>
        <w:t>以及利率的下降趋势三个视角，然后去判断当前短线的一个市场的交易机会。然后总的来说的话，我们目前觉得利率的一个短期的交易机会，其实是相对来说还是比较纠结的。具体来说的话，首先在宏观基本面的模型下的话，它的这个择时观点是中信天空。具体来说我们是从增长预期、通胀预期、流动性和风险偏好，一共四个维度，大概是观察了八个利率的领先指标的最新的研判情况。其中是两票看多，3票中性，然后3票看空。所以总体上上来说的话，利率在目前基本面维度的这个得失观点其实是一个偏中性，但是有轻微偏空的这样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15:04</w:t>
      </w:r>
    </w:p>
    <w:p>
      <w:r>
        <w:rPr>
          <w:rFonts w:ascii="等线(中文正文)" w:hAnsi="等线(中文正文)" w:cs="等线(中文正文)" w:eastAsia="等线(中文正文)"/>
          <w:b w:val="false"/>
          <w:i w:val="false"/>
          <w:sz w:val="20"/>
        </w:rPr>
        <w:t>其次的话是在机构资金交易行为的这个视角，它的这个模型的最新的交易观点是一个相对来说比较明确的偏多。模型测算方面的话，我们是从基金券商以及保险，就是说三种不同的重点机构它的利率债交易数据的一个高频数据的一个入手。然后去跟踪他们在高频交易行为当中所暗含的一些利率的走势观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15:27</w:t>
      </w:r>
    </w:p>
    <w:p>
      <w:r>
        <w:rPr>
          <w:rFonts w:ascii="等线(中文正文)" w:hAnsi="等线(中文正文)" w:cs="等线(中文正文)" w:eastAsia="等线(中文正文)"/>
          <w:b w:val="false"/>
          <w:i w:val="false"/>
          <w:sz w:val="20"/>
        </w:rPr>
        <w:t>目前的话具体来说，基金公司方面我们会发现它就是在4月27号是从短久期有明显的流入，在长久期上利率债上有明显的流入，然后在短久期上有明显流出。然后当前的话因为是到最新可能是转变成了长短久期，出现了一个同步的流出。但是因为同步流出，我们是把它当成一个偏被动属性的一个资金的增减持。所以说仍然还是延续了4月27号时候的这样的一个偏多的一个观点。然后证券公司的话目前最新的一个数据是典型的短久期流出，长久期流入，并且到最新交易日为止也是这样。所以证券公司是一个非常明确的看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16:08</w:t>
      </w:r>
    </w:p>
    <w:p>
      <w:r>
        <w:rPr>
          <w:rFonts w:ascii="等线(中文正文)" w:hAnsi="等线(中文正文)" w:cs="等线(中文正文)" w:eastAsia="等线(中文正文)"/>
          <w:b w:val="false"/>
          <w:i w:val="false"/>
          <w:sz w:val="20"/>
        </w:rPr>
        <w:t>然后保险公司的话会和基金公司类似，保险公司是在四月大概上半月的时候出现了短久期上的流出，长久期上的流入。但是之后的话短久期的维度，它是从流出转成了一个轻微的一个微小的流入。所以整体上来说的话，保险目前也是一个相对来说中性偏多的观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16:28</w:t>
      </w:r>
    </w:p>
    <w:p>
      <w:r>
        <w:rPr>
          <w:rFonts w:ascii="等线(中文正文)" w:hAnsi="等线(中文正文)" w:cs="等线(中文正文)" w:eastAsia="等线(中文正文)"/>
          <w:b w:val="false"/>
          <w:i w:val="false"/>
          <w:sz w:val="20"/>
        </w:rPr>
        <w:t>就是说机构资金交易行为的这个视角下的话，他给出的观点其实还是一个相对比较明确的一个偏多的那最后是我们的这个价量交易趋势的这个模型，这个模型的话目前给出的观点是一个中性偏多。然后方法论层面的话，我们是从日度的这个大量数据形成的利率形态入手，然后去看最新的利率它有没有突破支撑线或者突破阻力线。总的来说，目前我们模型的得出观点是在五年期的YTM上面是中信震荡十年期上市中偏多，然后30年其实上是中性偏多。所以总的来说目前整体上加量的视角下，它它就是一个偏中性偏多这样的一个走势观点。所以最后如果汇总来看的话，实际上短期视角下三个择时模型它的观点是有所分歧的。基本面模型是中性偏空，然后价量是一个比较明确的偏多，然后机构资金的加量是一个中性偏多。基本面是中性偏空，然后机构资金行为的这个模型是比较明确的偏多。所以综合来看的话，我们觉得因为三个模型当前的是得出观点是不一的，因此对于短期的这个利率的整体的一个未来预期还是以震荡为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17:40</w:t>
      </w:r>
    </w:p>
    <w:p>
      <w:r>
        <w:rPr>
          <w:rFonts w:ascii="等线(中文正文)" w:hAnsi="等线(中文正文)" w:cs="等线(中文正文)" w:eastAsia="等线(中文正文)"/>
          <w:b w:val="false"/>
          <w:i w:val="false"/>
          <w:sz w:val="20"/>
        </w:rPr>
        <w:t>这个以上是我们对于利率的一个判断。然后第二块的话是对于可转债的一个研判情况。对于转债的话，目前的话我们还是去从期权的这个估值，以及正股估值两个维度入手。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17:56</w:t>
      </w:r>
    </w:p>
    <w:p>
      <w:r>
        <w:rPr>
          <w:rFonts w:ascii="等线(中文正文)" w:hAnsi="等线(中文正文)" w:cs="等线(中文正文)" w:eastAsia="等线(中文正文)"/>
          <w:b w:val="false"/>
          <w:i w:val="false"/>
          <w:sz w:val="20"/>
        </w:rPr>
        <w:t>转债市场的话，期权估值我们这个是定价偏离度这个指标。然后这个指标的话是随着市场它在四月份的一个回暖，它其实定价偏离度是从负的9%左右，然后再次下降到了最新的负的12%左右。整体上来看的话，其实市场转债是有比较明显的提估值的行为的。相当于说在如果是看右上角的这个图的话，可以看到过去的很长一段时间内，可能得要有接近于一年多的时间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18:26</w:t>
      </w:r>
    </w:p>
    <w:p>
      <w:r>
        <w:rPr>
          <w:rFonts w:ascii="等线(中文正文)" w:hAnsi="等线(中文正文)" w:cs="等线(中文正文)" w:eastAsia="等线(中文正文)"/>
          <w:b w:val="false"/>
          <w:i w:val="false"/>
          <w:sz w:val="20"/>
        </w:rPr>
        <w:t>转债市场整体的一个定价偏离度，其实是一直在一个定价偏离为深度负值。其实也就是说转债持续偏贵的的一个区间内去做震荡。然后在三月份的时候，实际上随着权益市场的回撤，包括转债市场的回撤，是有比较明显的估值修复的痕迹的。但是随着四月份的这个全市场的普涨，其实目前整体的估值又再次被拔高了。所以因此我们目前整体的测算结果上来看，全市场仍然还是有超过九成以上的转债。它的实际市场价格是比理论定价值要来的高的。所以因此对于期权估值的判断，我们觉得还是以谨慎为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19:05</w:t>
      </w:r>
    </w:p>
    <w:p>
      <w:r>
        <w:rPr>
          <w:rFonts w:ascii="等线(中文正文)" w:hAnsi="等线(中文正文)" w:cs="等线(中文正文)" w:eastAsia="等线(中文正文)"/>
          <w:b w:val="false"/>
          <w:i w:val="false"/>
          <w:sz w:val="20"/>
        </w:rPr>
        <w:t>然后另外一方面转债正股维度的话，我们借助的是TD中位数的指标。然后TOPTD中位数的指标的话，整体的结论和上一期其实基本上也是类似。就是说我们目前判断就是说从周期视角下来看，正股的一个估值，它实际上目前从一个历史高位正在向中性点位去回落的这样的一个周期当中，但是一直居高，但是回落不下来。也因此总的来说的话，我们觉得目前其实不管从期权的估值，还是从正股的这个估值来看，转债的价格其实都是偏贵的。中期来说的话，配置性价比相对来说还是不太高。所以说认为还是会有待去进一步的去观察后续的一个市场情况，仍然还是以提示估值的风险为主。以上是我们对于可转债的一个市场的研判。</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19:57</w:t>
      </w:r>
    </w:p>
    <w:p>
      <w:r>
        <w:rPr>
          <w:rFonts w:ascii="等线(中文正文)" w:hAnsi="等线(中文正文)" w:cs="等线(中文正文)" w:eastAsia="等线(中文正文)"/>
          <w:b w:val="false"/>
          <w:i w:val="false"/>
          <w:sz w:val="20"/>
        </w:rPr>
        <w:t>最后的话是我们的这个定期维护的固收的多资产的策略组合。然后这个组合的话，2026年目前前四个月开年以来的绝对收益大概是在1.46左右。然后超额收益相对于中债综合债大概是在12个BP左右。目前最新的这个推荐的配置观点仍然是去低配转债。然后利率内部的话去超配长债，然后低配短债。这个组合的业绩表现也欢迎各位投资者持续的一个关注。以上是固收方面的一个月度的一个观点的汇报情况。接下来的时间交给我们的下一位同事为各位介绍一下黄金方面的一个配置观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20:40</w:t>
      </w:r>
    </w:p>
    <w:p>
      <w:r>
        <w:rPr>
          <w:rFonts w:ascii="等线(中文正文)" w:hAnsi="等线(中文正文)" w:cs="等线(中文正文)" w:eastAsia="等线(中文正文)"/>
          <w:b w:val="false"/>
          <w:i w:val="false"/>
          <w:sz w:val="20"/>
        </w:rPr>
        <w:t>好的，各位投资者晚上好。我来简单的汇报一下我们对于黄金的一个近期的研究的一些内容。我们其实是从三个角度重新梳理一下黄金的一个定价逻辑。第一个就是央行的储备资产，也就是全球央行以黄金来对冲这个货币信用的这样一个需求。在当前这个美元信用受挫以及世界货币体系多元化的这个背景下，全球央行是在持续不断的去增值黄金，这个也是为金价提供了一个支撑力。第二个这个逻辑，我们是从投资的角度上，投资的角度也是投资配置。那这里的话主要考虑到是个人或者机构投资者，他出于各种各样的，包括像多资产配置，然后抗通胀或者说避险等等等等这些需求去购买黄金现货，或者说去持有黄金etf这样带来的一个对金价一个支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21:39</w:t>
      </w:r>
    </w:p>
    <w:p>
      <w:r>
        <w:rPr>
          <w:rFonts w:ascii="等线(中文正文)" w:hAnsi="等线(中文正文)" w:cs="等线(中文正文)" w:eastAsia="等线(中文正文)"/>
          <w:b w:val="false"/>
          <w:i w:val="false"/>
          <w:sz w:val="20"/>
        </w:rPr>
        <w:t>影响这个逻辑上的它的一些指标涵盖了从宏观到微观的不同的一个方面。从宏观角度上来说，可能就包括像实际利率的水平以及美国的通胀水平，包括美元指数。那么实际利率的下行是降低了黄金的持有成本，通胀的高水平会强化黄金作为商品的一个抗通胀属性。那么美元贬值的期间对于这个美元资产的贬值，可能也会一定程度上带来对黄金需求的一个增加。这个是可能从偏宏观性的角度去理解的这个配置需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22:15</w:t>
      </w:r>
    </w:p>
    <w:p>
      <w:r>
        <w:rPr>
          <w:rFonts w:ascii="等线(中文正文)" w:hAnsi="等线(中文正文)" w:cs="等线(中文正文)" w:eastAsia="等线(中文正文)"/>
          <w:b w:val="false"/>
          <w:i w:val="false"/>
          <w:sz w:val="20"/>
        </w:rPr>
        <w:t>从更微观一点的角度上理解，一个就是可能避险上的一个指数。包括像这个经济政策不确定性以及电信政治风险这两个指数。它去衡量的避险情绪带来的这种避险的需求，以及黄金ETF持有量。它可以去反映在黄金ETF上的一个资金的流入流出。这些指标我们是用来去刻画这个投资配置的一个逻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22:41</w:t>
      </w:r>
    </w:p>
    <w:p>
      <w:r>
        <w:rPr>
          <w:rFonts w:ascii="等线(中文正文)" w:hAnsi="等线(中文正文)" w:cs="等线(中文正文)" w:eastAsia="等线(中文正文)"/>
          <w:b w:val="false"/>
          <w:i w:val="false"/>
          <w:sz w:val="20"/>
        </w:rPr>
        <w:t>第三种逻辑可能相对来说比较少小众，也比较的短暂，也就是投机交易。但这个主要是衡量在市场的内部，黄金市场内部如果说出现了这种比较失衡的结构，也就是期货和期货之间的价差比较显著的情况下，可能会有出现一种套利的一个逻辑。那么会引发套利者去做这样的一个投资的交易。也尤其是在这个期限基差处于比较高的位置的时候，套利者会去买现货卖期货，然后支撑现货的价格，压低期货的价格。这个的话对应的指标主要就是黄金的一个期限基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23:22</w:t>
      </w:r>
    </w:p>
    <w:p>
      <w:r>
        <w:rPr>
          <w:rFonts w:ascii="等线(中文正文)" w:hAnsi="等线(中文正文)" w:cs="等线(中文正文)" w:eastAsia="等线(中文正文)"/>
          <w:b w:val="false"/>
          <w:i w:val="false"/>
          <w:sz w:val="20"/>
        </w:rPr>
        <w:t>我们首先是针对这些短期或者中长期指标做了一个跟综。首先这个避险的短期指标，短期指标当中的这个避险，包括了这个经济政策不确定性，也就是EPU，还有这个地缘性政治风险指数，也就是GPR这两个指数。那么四月份的话，其实这两个指数相对于三月份都是有一个不同程度的一个下降，也就是伴随着每一个谈判的进程，以及时间的随着这个时间的一个推移，市场对于地缘性政治风险突发事件的一个冲击是在逐步的去消化，可能这个避险情是有一定的一个退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24:03</w:t>
      </w:r>
    </w:p>
    <w:p>
      <w:r>
        <w:rPr>
          <w:rFonts w:ascii="等线(中文正文)" w:hAnsi="等线(中文正文)" w:cs="等线(中文正文)" w:eastAsia="等线(中文正文)"/>
          <w:b w:val="false"/>
          <w:i w:val="false"/>
          <w:sz w:val="20"/>
        </w:rPr>
        <w:t>第二个短期指标，美元指数和实际利率。三月份是受到原油价格飙升的影响，美元是被动的获得了一个溢价。但是四月份在油价可能偏向于一个高位震荡的这个行情下，对于美元的一个边际推动力可能是有所下滑。所以四月份美元指数是震荡下调。截止到4月末的话是在98.10左右，实际利率的水平也是随之下降。大概10个BP。</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24:32</w:t>
      </w:r>
    </w:p>
    <w:p>
      <w:r>
        <w:rPr>
          <w:rFonts w:ascii="等线(中文正文)" w:hAnsi="等线(中文正文)" w:cs="等线(中文正文)" w:eastAsia="等线(中文正文)"/>
          <w:b w:val="false"/>
          <w:i w:val="false"/>
          <w:sz w:val="20"/>
        </w:rPr>
        <w:t>第三个短期指标黄金ETF持有量。我们这里的话主要指的是s ddr黄金ETF这个全球最大的黄金ETF。它的一个持有量其实指的就是基金的一个资产总量，也就是大部分其实就是黄金可以去反映这个基金的一个规模，以及市场对于这个黄金ETF它的一个需求，也可以一定程度上去体现资金的一个流入流出。那么在四月份黄金整体偏震荡的一个行情下，ETF的持有量其实是也没有一个太大的变化。四月份相对于三月末是大概下降了1%左右，基本是维持了一个水平。那么这个资金的流出的速度相对于三月份，是有一个很明显的下降，很明显的一个放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25:21</w:t>
      </w:r>
    </w:p>
    <w:p>
      <w:r>
        <w:rPr>
          <w:rFonts w:ascii="等线(中文正文)" w:hAnsi="等线(中文正文)" w:cs="等线(中文正文)" w:eastAsia="等线(中文正文)"/>
          <w:b w:val="false"/>
          <w:i w:val="false"/>
          <w:sz w:val="20"/>
        </w:rPr>
        <w:t>第四个这个短期指标期限基差，我们这里的计算方式其实是用convex的黄金期货结算价和伦敦基建之间做一个差值。然后由于日频数据它的噪音较多，所以做了一个60亿60日的一个移动平滑处理。这个指标它主要体现的就是期货和现货之间一个价差。那么比较高的这种期限基差就会出现买现货卖期货的这样一种套利操作。那么在这个过程当中，现货的价格会受到支撑，我们可以去考虑在这个过程当中捕捉一定的一个收益。从这个最新的水平来看，截止到4月末的话，平均是60，平均值是在17美元左右，位于大概过去三年的一个66%分位数的一个水平。相当于上个月其实是有一定的反弹。这说明市场对于一个短期的一个趋势的预期值是有所改善的，不过并没有出现非常明确的这个tony的信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26:26</w:t>
      </w:r>
    </w:p>
    <w:p>
      <w:r>
        <w:rPr>
          <w:rFonts w:ascii="等线(中文正文)" w:hAnsi="等线(中文正文)" w:cs="等线(中文正文)" w:eastAsia="等线(中文正文)"/>
          <w:b w:val="false"/>
          <w:i w:val="false"/>
          <w:sz w:val="20"/>
        </w:rPr>
        <w:t>最后一个交易面的指标，我们是仍然是关注隐含波动率。这个在我们的往期研究当中有不断的提到。其实在三月份经历了比较震荡反复的这样一个情况下，四月份的话一波其实是从高位有一个持续的下降。截止到4月末，大概是在27%，相当于三月末的36%，是有一个比较明显的减少。但是仍然还是处在20年以来的一个比较高的位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26:56</w:t>
      </w:r>
    </w:p>
    <w:p>
      <w:r>
        <w:rPr>
          <w:rFonts w:ascii="等线(中文正文)" w:hAnsi="等线(中文正文)" w:cs="等线(中文正文)" w:eastAsia="等线(中文正文)"/>
          <w:b w:val="false"/>
          <w:i w:val="false"/>
          <w:sz w:val="20"/>
        </w:rPr>
        <w:t>从中长期的维度上来看，我们关注的第一个就是这个黄金储备的这样一个趋势。仍然是中国和全球的官方黄金储备都还是维持了一个增持的趋势。尤其是中国的关于黄金储备，在截止到4月末管理是增加了大概五吨。这样的一个增加幅度相对于前大概十几个月来说，都是有一个比较显著的一个放大。这是一个可能比较的近期来说可能比较对于这个黄金储备来说，可能是比较值得关注的一个变化点。除此之外，我们还构建了一个中长期的估值指标，仍然是以美元计价黄金比上储备货币的M2。那么这个指标的一个分位数水平，也是已经连续两个月下降，剩余的空间是有一个进一步的放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27:46</w:t>
      </w:r>
    </w:p>
    <w:p>
      <w:r>
        <w:rPr>
          <w:rFonts w:ascii="等线(中文正文)" w:hAnsi="等线(中文正文)" w:cs="等线(中文正文)" w:eastAsia="等线(中文正文)"/>
          <w:b w:val="false"/>
          <w:i w:val="false"/>
          <w:sz w:val="20"/>
        </w:rPr>
        <w:t>所以综合我们对于短期和中长期指标的一个跟踪分析，综合来说，近期也是伴随着美伊冲突的这样的一个进程，以及时间的一个推移。市场是逐渐消化掉了地缘性政治风险事件一个短暂的一个冲击。定价可能是一定程度上回归了一个理性，而且黄金在三月份确实经历了一个深度回调，随后有一个这样的一个反弹，也是在四月一直维持了一个震荡的行情。那么当前来看，美元指数和实际利率下行以及央行购金这个持续的行为，包括增幅一个放大，都从宏观的层面上可能给予金价一定的支撑。然后从相对来说，从交易面上来看，隐含波动率的这个水平也是有所下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28:34</w:t>
      </w:r>
    </w:p>
    <w:p>
      <w:r>
        <w:rPr>
          <w:rFonts w:ascii="等线(中文正文)" w:hAnsi="等线(中文正文)" w:cs="等线(中文正文)" w:eastAsia="等线(中文正文)"/>
          <w:b w:val="false"/>
          <w:i w:val="false"/>
          <w:sz w:val="20"/>
        </w:rPr>
        <w:t>虽然说仍然处在一个高位，但是也是只是了这个情绪的一个缓解。所以我们认为短期来看，金价可能是偏震荡偏多的这样一个趋势。那么这个是我们对这个指标的一个跟踪，我们也尝试了使用这些指标去构建一些择时的策略。主要是从三个思路去入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28:55</w:t>
      </w:r>
    </w:p>
    <w:p>
      <w:r>
        <w:rPr>
          <w:rFonts w:ascii="等线(中文正文)" w:hAnsi="等线(中文正文)" w:cs="等线(中文正文)" w:eastAsia="等线(中文正文)"/>
          <w:b w:val="false"/>
          <w:i w:val="false"/>
          <w:sz w:val="20"/>
        </w:rPr>
        <w:t>第一个定期调仓，这个思路我们主要是使用定期更新或者相对来说比较低频的这些指标，它整体上是偏向一个配置的这样一个策略。这里我们使用了三个指标，包括了季品的全球黄金储备量的增加或者减少，以及这个月度的黄金一天持有量的增加或者减少，以及周度的这个EPU指数的一个历史分位数。那么出现信号一分别是黄金储备量增加，黄金一条持有量增加，以及EPU指数突破一个高位。那么我们使用这个分层的一个方式将不同频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29:38</w:t>
      </w:r>
    </w:p>
    <w:p>
      <w:r>
        <w:rPr>
          <w:rFonts w:ascii="等线(中文正文)" w:hAnsi="等线(中文正文)" w:cs="等线(中文正文)" w:eastAsia="等线(中文正文)"/>
          <w:b w:val="false"/>
          <w:i w:val="false"/>
          <w:sz w:val="20"/>
        </w:rPr>
        <w:t>你的信号去做一个结合，首先以最低频的这个储备信号作为一个打底。在它的信号为零的时候，我们直接空仓。如果它出现了信号一，其他的两个信号都是0，我们是半仓。那其他这两个信号如果也出现了一的话，我们就去满仓。这个的话其实主要是涉及到一些更多的是偏向配置的这样一个思路。那么第二个第二个策略不定期调仓，我们主要是可能偏向一个事件驱动的这样一个逻辑，更多的可能是比较类似于一种交易的策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30:12</w:t>
      </w:r>
    </w:p>
    <w:p>
      <w:r>
        <w:rPr>
          <w:rFonts w:ascii="等线(中文正文)" w:hAnsi="等线(中文正文)" w:cs="等线(中文正文)" w:eastAsia="等线(中文正文)"/>
          <w:b w:val="false"/>
          <w:i w:val="false"/>
          <w:sz w:val="20"/>
        </w:rPr>
        <w:t>这里的话我们主要使用两个逻辑，第一个是这个引波和趋势。这个我们在往期的研究当中也有提到，就是在上行趋势下的低波以及中部的区间，我们去捕捉它的一个收益，是相对来说最具有性价比的。所以我们这里首先以金价的MA去做一个趋势判断，在上行的趋势下，我们再根据隐含波动率的一个历史分位数去判断是否处于中波或者低波的区间。如果是的话，那这里信号就是一，如果是处于高波区间的话，信号就是0。这个是以波和趋势的一个逻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30:46</w:t>
      </w:r>
    </w:p>
    <w:p>
      <w:r>
        <w:rPr>
          <w:rFonts w:ascii="等线(中文正文)" w:hAnsi="等线(中文正文)" w:cs="等线(中文正文)" w:eastAsia="等线(中文正文)"/>
          <w:b w:val="false"/>
          <w:i w:val="false"/>
          <w:sz w:val="20"/>
        </w:rPr>
        <w:t>第二个就是我们刚才提到的新线极差这样一个套利的逻辑。也就是当期限其实它处在一个比较高的水平的时候，可能就会出现一种套利的行为，然后去支撑这个现货价格一个上涨一直。到这个期限基差回归到一个平均的水平。所以我们这里的具体的一个信号就是在期限基差处在一个滚动三年分位数上传90%的时候出现信号一。然后等到它回归到50%的时候，信号一回归到信号一变为信号0。那么我们这里结合两者的方式是以货的方式。也就是如果两个逻辑它的一个信号都是给到信号都是零的时候，我们空仓，但凡出现了一个信号一，我们就满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31:30</w:t>
      </w:r>
    </w:p>
    <w:p>
      <w:r>
        <w:rPr>
          <w:rFonts w:ascii="等线(中文正文)" w:hAnsi="等线(中文正文)" w:cs="等线(中文正文)" w:eastAsia="等线(中文正文)"/>
          <w:b w:val="false"/>
          <w:i w:val="false"/>
          <w:sz w:val="20"/>
        </w:rPr>
        <w:t>第三个思路回撤控制，其实和前两条可能都不太一样。主要其实是从这个风控的角度去出发，根据银行波动率去做一些仓位上的管理。它的主要的一个目的是去控制组合的一个最大回撤。这个具体的做法我们在以前也有提到过。就是说我们首先是假设一个年内的最大回撤上限，然后以隐含波动率去推算一个短期的最大回撤的一个幅度。再根据每个交易日剩余的这个最大回撤空间，比如说今年的截止到当前的一个最大回撤是10%，我们的最大回撤上限是15%的话，当前的一个剩余的空间就是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32:09</w:t>
      </w:r>
    </w:p>
    <w:p>
      <w:r>
        <w:rPr>
          <w:rFonts w:ascii="等线(中文正文)" w:hAnsi="等线(中文正文)" w:cs="等线(中文正文)" w:eastAsia="等线(中文正文)"/>
          <w:b w:val="false"/>
          <w:i w:val="false"/>
          <w:sz w:val="20"/>
        </w:rPr>
        <w:t>再按照这个剩余的空间和引波推算的这个最大回撤幅度，去得到一个倒算的一个仓位，根据这个仓位去做我们的一个配置。那么从表现上来看，偏向交易思路的这个不定期调仓组合，它的收益是最优的。年化收益大于12%是比较显著的，超过了半仓基准以及满仓基准。同时它的这个波动和回撤也相对比较低，所以它的收益波动比和收益回撤比也是最高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32:37</w:t>
      </w:r>
    </w:p>
    <w:p>
      <w:r>
        <w:rPr>
          <w:rFonts w:ascii="等线(中文正文)" w:hAnsi="等线(中文正文)" w:cs="等线(中文正文)" w:eastAsia="等线(中文正文)"/>
          <w:b w:val="false"/>
          <w:i w:val="false"/>
          <w:sz w:val="20"/>
        </w:rPr>
        <w:t>那么回撤控制组合，因为它的主要目标是去做这个风险控制，所以作为一个单性价单策略来说，可能它的换手率比较高性价比不是特别优秀。如果说考虑要去在择时的基础上叠加回撤控制的话，也会涉及到在这个收益和风险上的一个选择。如果说对于回撤的这个控制要求比较高的话，可以去考虑叠加这个回撤控制的思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33:05</w:t>
      </w:r>
    </w:p>
    <w:p>
      <w:r>
        <w:rPr>
          <w:rFonts w:ascii="等线(中文正文)" w:hAnsi="等线(中文正文)" w:cs="等线(中文正文)" w:eastAsia="等线(中文正文)"/>
          <w:b w:val="false"/>
          <w:i w:val="false"/>
          <w:sz w:val="20"/>
        </w:rPr>
        <w:t>那么我们其实是观察到定期调仓的组合，它的收益相对比较一般，但是它的换手率是最低的。而不定期调整组合，它的年化收益比较领先，显著的领先于其他的组合，但是换手率相对来说比较高，而且它的这个信号是只有0和1的两种，可能不是特别适合于比较大体量的这种资金。所以我们认为比较好的一种方式，就是直接以仓位的分配方式，将两者去做一个结合。然后去根据我们的目标波动或者说目标的换手去做这个比例上的一个调整。这两者的结合其实就相当于对于这个经济调整组合，就是我们的一个配置盘。同时去关注这个官方黄金储备的增加，黄金ETF的一个资金流入，以及这个经济政策不确定性是否处在比较高的一个水平。这三者近期去根据我们的信号做一个调仓，那么后者这个不定期的调仓组合就相当于是我们的一个交易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34:07</w:t>
      </w:r>
    </w:p>
    <w:p>
      <w:r>
        <w:rPr>
          <w:rFonts w:ascii="等线(中文正文)" w:hAnsi="等线(中文正文)" w:cs="等线(中文正文)" w:eastAsia="等线(中文正文)"/>
          <w:b w:val="false"/>
          <w:i w:val="false"/>
          <w:sz w:val="20"/>
        </w:rPr>
        <w:t>他主要是关注一些比较短期的逻辑，比如说像期限息差，期限息差处在高位时带来的一个套利逻辑，以及这个低波或者中波阶段出现的这种性价比可能比较高的这种上行趋势下的一个收益。相对来说可能它的一个区间，它的这个信号出现的区间会比较短，所以说偏向一个交易的思路。那么这两者的一个结合，可能就能够去满足比较多的这样一个择时的一个需求。好，以上就是我们针对黄金的黄金近期的一些研究和观点，接下来请下一位同事介绍一下对保险和外资机构的一个行为跟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34:50</w:t>
      </w:r>
    </w:p>
    <w:p>
      <w:r>
        <w:rPr>
          <w:rFonts w:ascii="等线(中文正文)" w:hAnsi="等线(中文正文)" w:cs="等线(中文正文)" w:eastAsia="等线(中文正文)"/>
          <w:b w:val="false"/>
          <w:i w:val="false"/>
          <w:sz w:val="20"/>
        </w:rPr>
        <w:t>好的，各位投资者晚上好。接下来我汇报一下我们对于保险资金配置和海外资金动向的最近观察。本次汇报其实主要分为两个部分。第一个部分是保险机构配置行为的回顾，重点是分析一季度以来险资权益配置的趋势，行业偏好以及个股加仓以及重仓的一个情况。第二部分是去分析这个外资机构的配置行为。主要是从海外境外中国股票etf资金流向和陆股通持仓变化两个角度来观察境外资金对于中国股票的配置态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35:27</w:t>
      </w:r>
    </w:p>
    <w:p>
      <w:r>
        <w:rPr>
          <w:rFonts w:ascii="等线(中文正文)" w:hAnsi="等线(中文正文)" w:cs="等线(中文正文)" w:eastAsia="等线(中文正文)"/>
          <w:b w:val="false"/>
          <w:i w:val="false"/>
          <w:sz w:val="20"/>
        </w:rPr>
        <w:t>总体来看的话，当前机构资金配置中国权益资产的核心特征可以概括为两点。第一是保险资金在低利率和资产荒这么一个背景下，权益配置的这个趋势还是持续提升，并且风格仍然偏稳健。第二就是外资对于中国资产的配置仍偏谨慎，但边际流出压力有所缓和，并呈现出结构性的再平衡特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35:55</w:t>
      </w:r>
    </w:p>
    <w:p>
      <w:r>
        <w:rPr>
          <w:rFonts w:ascii="等线(中文正文)" w:hAnsi="等线(中文正文)" w:cs="等线(中文正文)" w:eastAsia="等线(中文正文)"/>
          <w:b w:val="false"/>
          <w:i w:val="false"/>
          <w:sz w:val="20"/>
        </w:rPr>
        <w:t>首先我们来看一下保险机构的行业配置，总体来看，险资对于权益资产的配置力度是在持续增强的。截至2026年一季度，险资已经连续八个季度增加权益资产的配置。这背后反映的主要是低于环境及资产压力和权益市场性价比改善共同作用下的这个中长期配置调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36:17</w:t>
      </w:r>
    </w:p>
    <w:p>
      <w:r>
        <w:rPr>
          <w:rFonts w:ascii="等线(中文正文)" w:hAnsi="等线(中文正文)" w:cs="等线(中文正文)" w:eastAsia="等线(中文正文)"/>
          <w:b w:val="false"/>
          <w:i w:val="false"/>
          <w:sz w:val="20"/>
        </w:rPr>
        <w:t>从行业结构来看，显示进入前十大流通股东的这个A股持仓，其实行业看是比较高度集中的。首先是这个银行仍然是绝对的核心，说明险资依然是看中这个低估值以及高分红，以及盈利稳定的资产。同时我们也可以看到公用事业和交通运输，以及电力设备和电子，那也是重点的一个配置方向。这都体现出显示在这个文件底仓之外，也在适度配置具备产业逻辑或者说现金流优势的这这么一些行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36:54</w:t>
      </w:r>
    </w:p>
    <w:p>
      <w:r>
        <w:rPr>
          <w:rFonts w:ascii="等线(中文正文)" w:hAnsi="等线(中文正文)" w:cs="等线(中文正文)" w:eastAsia="等线(中文正文)"/>
          <w:b w:val="false"/>
          <w:i w:val="false"/>
          <w:sz w:val="20"/>
        </w:rPr>
        <w:t>从一季度的变化来看，显示明显分配的行业有家用电器、食品饮料、煤炭以及机械设备等行业。其中家用电器的权重是提升约2.17个百分点，是增配幅度最大的方向。相对而言，通信和有色金属以及银行、房地产还有传媒这几个行业都在一季度有所减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37:20</w:t>
      </w:r>
    </w:p>
    <w:p>
      <w:r>
        <w:rPr>
          <w:rFonts w:ascii="等线(中文正文)" w:hAnsi="等线(中文正文)" w:cs="等线(中文正文)" w:eastAsia="等线(中文正文)"/>
          <w:b w:val="false"/>
          <w:i w:val="false"/>
          <w:sz w:val="20"/>
        </w:rPr>
        <w:t>好，那接下来我们看一下选择一季度的加仓和减仓的个股。从个股层面来看，选择加仓主要集中在银行、家电、公用事业以及食品饮料，还有部分的交通运输标的。例如像这里的美的集团、兴业银行、工商银行、中国银行以及五粮液等。那么这些公司普遍具有龙头属性以及分红能力，还有盈利稳定性的这么一些优势。因此也比较符合险资长期资金的一个配置要求。减仓方面，减仓主要是包括像浦发银行、农业银行、招商银行等银行股，同时也包括像中国电信、中国联通等通信股。还有一些有色金属和电力设备标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38:04</w:t>
      </w:r>
    </w:p>
    <w:p>
      <w:r>
        <w:rPr>
          <w:rFonts w:ascii="等线(中文正文)" w:hAnsi="等线(中文正文)" w:cs="等线(中文正文)" w:eastAsia="等线(中文正文)"/>
          <w:b w:val="false"/>
          <w:i w:val="false"/>
          <w:sz w:val="20"/>
        </w:rPr>
        <w:t>这里我们认为选择调仓的整个逻辑其实是更加注重个股的一个估值水平，还有股息回报以及盈利确定性，还有最重要的一点是它的一个集中度的管理。因此选择配置的重点并不是追求一个短期的增长的弹性，而是在长期的收益和风险预算之间做动态平衡。那么展望后续，我们认为如果无风险利率持续处于低位的话，以及这个偿债收益压力下行仍然存在的一个情况下，险资提升权益配置的这个趋势还是有望持续延续的。但是考虑到险资的资金负债久期较长，并且风险预算约束强，因此选资配置权益大概率仍然以一个稳步提升，结构性优化为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38:55</w:t>
      </w:r>
    </w:p>
    <w:p>
      <w:r>
        <w:rPr>
          <w:rFonts w:ascii="等线(中文正文)" w:hAnsi="等线(中文正文)" w:cs="等线(中文正文)" w:eastAsia="等线(中文正文)"/>
          <w:b w:val="false"/>
          <w:i w:val="false"/>
          <w:sz w:val="20"/>
        </w:rPr>
        <w:t>接着我们进一步来看一下这个选择的重仓股结构。首先从这个持仓的绝对市值来看，险资主要重仓流通股是集中在向浦发银行、兴业银行、招商银行和农业银行，长江电力等公司。这里仍然是体现出显示它这个金融以及稳定性现金流资产占优的这么一个特征。那么从如果我们从这个持仓占流通流通股比例来看，那部分的中小市值公司以及区域性的金融地产、医药和交运的标的，也是占有一个较高的持股占比。这里说明显示，一方面是将一些大市值高分红和低估值的标的作为一些核心舱位。另一方面也会在部分的估值较低，以及股权结构相对稳定，并且长期现金流价值较为明确的一些公司中，形成较高的一个持股占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39:51</w:t>
      </w:r>
    </w:p>
    <w:p>
      <w:r>
        <w:rPr>
          <w:rFonts w:ascii="等线(中文正文)" w:hAnsi="等线(中文正文)" w:cs="等线(中文正文)" w:eastAsia="等线(中文正文)"/>
          <w:b w:val="false"/>
          <w:i w:val="false"/>
          <w:sz w:val="20"/>
        </w:rPr>
        <w:t>好，讲完险资为代表的国内机构投资者，我们切换到境外资金的配置行为来看。从境外中国股票ETF的资金流向看，我们发现2026年4月境外资金整体仍处于一个小幅的净流出，但流出压力较三月明显缓和。尤其是经历了月初的阶段性流出之后，后续出现了一定的回流。这也体现出外资它在估值和政策预期以及全球风险偏好，还有这个汇率环境之间对于中国资产的一个再评估的动态调整。那么从风格分布来看，四月境外资金更加偏好大盘混合型和宽基混合型的etf其中大盘混合型净流入约21.4亿元，而宽基混合型是净流入约22.9 8亿元。此外我们可以看到大盘成长型和大盘价值型则则呈现一个净流出，分别净流出是33点四五亿元和45.67亿元。这个结构说明境外资金当前它是更加倾向于通过宽基以及均衡型的工具去去参与中国资产的修复，而不是去压住这个单一的风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41:05</w:t>
      </w:r>
    </w:p>
    <w:p>
      <w:r>
        <w:rPr>
          <w:rFonts w:ascii="等线(中文正文)" w:hAnsi="等线(中文正文)" w:cs="等线(中文正文)" w:eastAsia="等线(中文正文)"/>
          <w:b w:val="false"/>
          <w:i w:val="false"/>
          <w:sz w:val="20"/>
        </w:rPr>
        <w:t>我们从这个陆股通持仓变化来看，2026年一季度陆股通持股市值较上季度小幅回落，持股当前的最新持股市值是2.57万亿元，较2 0225年的四季度减少约108亿元。从这个规模来看，这一降幅相对于它整体的持仓其实并不大，主要体现的还是一个阶段性的调整。从行业分布来看，一季度陆股通持仓主要集中在电力设备、电子、有色金属、银行以及机械设备等方向。整体风格相较显著而言，它更偏成长制造，还有科技和产业链。一季度持仓市值较大的这些行业主要就是电力设备以及通信行业。说明外资它仍然关注这个新能源产业链，以及先进制造和AI算力运营商等高钴等等行业。总体而言，陆股通的配置主线逻辑我们可以概括为他比较关注景气成长以及流动性的龙头和部分高股息的防御资产。好，以上就是本次线上会议的全部内容，感谢大家的聆听。也欢迎各位投资者持续关注我们的公众号，招商证券资产配置研究，我们下期再会。</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2026-05-06T14:12:22Z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E6636BB100BBAFBB4581D91E6DDB8AD439B6BEFC537DDD5C5AEB463F44DFE5FA2E7B9DEC4954E2D4A81987638E1F40987C64E4C3C22B28965B47DC7D510FCED8133D435</vt:lpwstr>
  </property>
</Properties>
</file>