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华源计算机  AI算力电话会1：为什么我们认为cpu的产业趋势才刚开始？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CPU GPU 异步强化学习 训练 推理 agent GRPO PPO 计算资源 虚拟化 供需缺口 涨价 制程 封装 配比 英特尔 AMD CSP 数据中心 财报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探讨了网站开发模拟、异常控制、数据处理、GPU与CPU在AI训练中的作用、强化学习算法设计、算力需求以及CPU市场格局变化等关键议题。讨论指出，随着AI时代的到来，对CPU的需求激增，导致供需失衡和价格上扬，而国产芯片企业正积极研发CPU和GPU以填补市场空白。同时，虚拟化技术及沙箱应用对CPU性能提出新要求，预示着未来CPU将朝向更高性能、低功耗及定制化方向发展。此外，对话还涉及了投资机会，鼓励关注在技术创新和市场适应性方面表现突出的企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模拟订票系统训练中的CPU与GPU协作挑战</w:t>
      </w:r>
    </w:p>
    <w:p>
      <w:r>
        <w:rPr>
          <w:rFonts w:ascii="等线(中文正文)" w:hAnsi="等线(中文正文)" w:cs="等线(中文正文)" w:eastAsia="等线(中文正文)"/>
          <w:b w:val="false"/>
          <w:i w:val="false"/>
          <w:sz w:val="20"/>
        </w:rPr>
        <w:t>讨论了在构建模拟订票系统时，如何处理网页交互异常，以及在大规模数据结构文件训练中CPU与GPU的协作问题。强调了在复杂项目中，本地CPU可能不足，需转向云服务器CPU，涉及环境延迟、推理阶段执行工具调用及结果解析，以及多步状态管理，最终需确保CSP上的推理需求得到满足。</w:t>
      </w:r>
    </w:p>
    <w:p>
      <w:r>
        <w:rPr>
          <w:rFonts w:ascii="等线(中文正文)" w:hAnsi="等线(中文正文)" w:cs="等线(中文正文)" w:eastAsia="等线(中文正文)"/>
          <w:b w:val="false"/>
          <w:i w:val="false"/>
          <w:sz w:val="20"/>
        </w:rPr>
        <w:t/>
      </w:r>
    </w:p>
    <w:p>
      <w:pPr>
        <w:pStyle w:val="ab"/>
        <w:numPr>
          <w:numId w:val="2"/>
        </w:numPr>
      </w:pPr>
      <w:r>
        <w:t>02:13 长安学习算法设计哲学：从PPO到GRPO的演进</w:t>
      </w:r>
    </w:p>
    <w:p>
      <w:r>
        <w:rPr>
          <w:rFonts w:ascii="等线(中文正文)" w:hAnsi="等线(中文正文)" w:cs="等线(中文正文)" w:eastAsia="等线(中文正文)"/>
          <w:b w:val="false"/>
          <w:i w:val="false"/>
          <w:sz w:val="20"/>
        </w:rPr>
        <w:t>对话深入探讨了长安学习算法的设计哲学，从PPO到GRPO的演变，强调了取消老师模型以减少资源消耗和提升训练效率的策略。GRPO通过组内平均采样取代老师模型，利用更多CPU资源进行高质量训练信号的获取，同时异步GRPO解决了GPU空转问题，提升了训练速度和效果。英伟达的基础设施层配套也体现了这一趋势，预示着未来算法选择将更注重角色精准度的提升。</w:t>
      </w:r>
    </w:p>
    <w:p>
      <w:r>
        <w:rPr>
          <w:rFonts w:ascii="等线(中文正文)" w:hAnsi="等线(中文正文)" w:cs="等线(中文正文)" w:eastAsia="等线(中文正文)"/>
          <w:b w:val="false"/>
          <w:i w:val="false"/>
          <w:sz w:val="20"/>
        </w:rPr>
        <w:t/>
      </w:r>
    </w:p>
    <w:p>
      <w:pPr>
        <w:pStyle w:val="ab"/>
        <w:numPr>
          <w:numId w:val="3"/>
        </w:numPr>
      </w:pPr>
      <w:r>
        <w:t>07:16 AI Agent发展与CPU需求关系探讨</w:t>
      </w:r>
    </w:p>
    <w:p>
      <w:r>
        <w:rPr>
          <w:rFonts w:ascii="等线(中文正文)" w:hAnsi="等线(中文正文)" w:cs="等线(中文正文)" w:eastAsia="等线(中文正文)"/>
          <w:b w:val="false"/>
          <w:i w:val="false"/>
          <w:sz w:val="20"/>
        </w:rPr>
        <w:t>讨论了AI Agent在训练与推理阶段对CPU的需求变化，指出当前需求平衡但训练需求占主导，企业级应用尚处于初期，大量任务仍在客户端运行。分析了虚拟化技术对CPU使用效率的影响，以及预测未来需求可能被高估的风险。强调了短期内CPU需求紧张可能导致涨价，但长期增长空间可能被高估的观点。</w:t>
      </w:r>
    </w:p>
    <w:p>
      <w:r>
        <w:rPr>
          <w:rFonts w:ascii="等线(中文正文)" w:hAnsi="等线(中文正文)" w:cs="等线(中文正文)" w:eastAsia="等线(中文正文)"/>
          <w:b w:val="false"/>
          <w:i w:val="false"/>
          <w:sz w:val="20"/>
        </w:rPr>
        <w:t/>
      </w:r>
    </w:p>
    <w:p>
      <w:pPr>
        <w:pStyle w:val="ab"/>
        <w:numPr>
          <w:numId w:val="4"/>
        </w:numPr>
      </w:pPr>
      <w:r>
        <w:t>11:25 CPU行业趋势与涨价预期分析</w:t>
      </w:r>
    </w:p>
    <w:p>
      <w:r>
        <w:rPr>
          <w:rFonts w:ascii="等线(中文正文)" w:hAnsi="等线(中文正文)" w:cs="等线(中文正文)" w:eastAsia="等线(中文正文)"/>
          <w:b w:val="false"/>
          <w:i w:val="false"/>
          <w:sz w:val="20"/>
        </w:rPr>
        <w:t>对话深入探讨了CPU行业在AI时代的发展趋势，特别是配比提升和供需缺口推动的涨价预期。英特尔和AMD的业绩表现积极，CPU需求持续增长，同时英特尔在先进制程和封装技术方面取得进展，ASIC业务也表现出色。整体行业正处于涨价初期，预计将持续至Q3到Q4，供需缺口将支撑长期涨价趋势。</w:t>
      </w:r>
    </w:p>
    <w:p>
      <w:r>
        <w:rPr>
          <w:rFonts w:ascii="等线(中文正文)" w:hAnsi="等线(中文正文)" w:cs="等线(中文正文)" w:eastAsia="等线(中文正文)"/>
          <w:b w:val="false"/>
          <w:i w:val="false"/>
          <w:sz w:val="20"/>
        </w:rPr>
        <w:t/>
      </w:r>
    </w:p>
    <w:p>
      <w:pPr>
        <w:pStyle w:val="ab"/>
        <w:numPr>
          <w:numId w:val="5"/>
        </w:numPr>
      </w:pPr>
      <w:r>
        <w:t>15:36 AMD与英特尔服务器CPU需求激增及涨价趋势分析</w:t>
      </w:r>
    </w:p>
    <w:p>
      <w:r>
        <w:rPr>
          <w:rFonts w:ascii="等线(中文正文)" w:hAnsi="等线(中文正文)" w:cs="等线(中文正文)" w:eastAsia="等线(中文正文)"/>
          <w:b w:val="false"/>
          <w:i w:val="false"/>
          <w:sz w:val="20"/>
        </w:rPr>
        <w:t>对话重点讨论了AMD与英特尔服务器CPU市场的需求激增和价格上调现象，指出服务器CPU市场容量预期翻倍，价格涨幅达10%-15%，且全年的产能已售罄，预示着未来可能继续涨价。同时，AMD的多元化产品线，包括CPU、GPU及机柜解决方案，被视为其竞争优势，未来商业化进展值得关注，尤其是在2027年的市场份额提升潜力。此外，ARM的财报及CPU市场容量、份额和战略规划也将成为关注焦点。</w:t>
      </w:r>
    </w:p>
    <w:p>
      <w:r>
        <w:rPr>
          <w:rFonts w:ascii="等线(中文正文)" w:hAnsi="等线(中文正文)" w:cs="等线(中文正文)" w:eastAsia="等线(中文正文)"/>
          <w:b w:val="false"/>
          <w:i w:val="false"/>
          <w:sz w:val="20"/>
        </w:rPr>
        <w:t/>
      </w:r>
    </w:p>
    <w:p>
      <w:pPr>
        <w:pStyle w:val="ab"/>
        <w:numPr>
          <w:numId w:val="6"/>
        </w:numPr>
      </w:pPr>
      <w:r>
        <w:t>18:23 美股与A股芯片行业分析及投资建议</w:t>
      </w:r>
    </w:p>
    <w:p>
      <w:r>
        <w:rPr>
          <w:rFonts w:ascii="等线(中文正文)" w:hAnsi="等线(中文正文)" w:cs="等线(中文正文)" w:eastAsia="等线(中文正文)"/>
          <w:b w:val="false"/>
          <w:i w:val="false"/>
          <w:sz w:val="20"/>
        </w:rPr>
        <w:t>对话围绕美股和A股的芯片行业展开，提及了海光信息、盛新材、中国长城等A股芯片企业，以及龙芯中科、广和科技、澜起科技等核心零部件公司。分析了各公司在CPU、GPU、PCB产品及内存接口芯片等方面的进展与前景，强调了国产芯片自研架构的重要性及市场潜力。最后，提到了杰华特在电源管理芯片领域的布局，以及与CPU的紧密关联。整体表达了对芯片行业未来发展的看好，并邀请投资者关注进一步的详细分析。</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讨论了人工智能时代CPU需求增长、计算资源分配以及不同架构CPU在市场上的表现。他指出，随着智能体训练和推理需求增加，CPU用量配比正从1比8向接近1比1发展，表明AI领域对CPU需求显著增长。供需缺口导致CPU价格上涨，预计此趋势将持续。他分析了英特尔、AMD和ARM等公司的AI发展策略和市场定位，特别强调了自研架构的国产芯片厂商在市场上的潜力。最后，他指出中国市场上CPU相关公司和市场动态，认为需求增长和供给紧张将推动CPU价格继续上涨，但看好国产芯片厂商的发展。</w:t>
      </w:r>
    </w:p>
    <w:p>
      <w:r>
        <w:rPr>
          <w:rFonts w:ascii="等线(中文正文)" w:hAnsi="等线(中文正文)" w:cs="等线(中文正文)" w:eastAsia="等线(中文正文)"/>
          <w:b w:val="false"/>
          <w:i w:val="false"/>
          <w:sz w:val="20"/>
        </w:rPr>
        <w:t/>
      </w:r>
    </w:p>
    <w:p>
      <w:pPr>
        <w:pStyle w:val="a7"/>
      </w:pPr>
      <w:r>
        <w:t>要点回顾</w:t>
      </w:r>
    </w:p>
    <w:p>
      <w:pPr>
        <w:pStyle w:val="ab"/>
      </w:pPr>
      <w:r>
        <w:t>在构建模拟网站进行订票动作练习时，需要关注哪些方面以确保训练过程的稳定性？</w:t>
      </w:r>
    </w:p>
    <w:p>
      <w:r>
        <w:rPr>
          <w:rFonts w:ascii="等线(中文正文)" w:hAnsi="等线(中文正文)" w:cs="等线(中文正文)" w:eastAsia="等线(中文正文)"/>
          <w:b w:val="false"/>
          <w:i w:val="false"/>
          <w:sz w:val="20"/>
        </w:rPr>
        <w:t>发言人1：在搭建模拟网站时，首先要明确网页上的所有内容及其功能，比如按钮的作用、错误处理机制（如点错、点歪或网络中断等情况）。此外，对于由几千行甚至上万行数据结构文件驱动的模型训练，每行代码都需要在CPU环境中验证执行，这会导致GPU等待CPU环境反馈，从而拖慢整个训练进程。</w:t>
      </w:r>
    </w:p>
    <w:p>
      <w:r>
        <w:rPr>
          <w:rFonts w:ascii="等线(中文正文)" w:hAnsi="等线(中文正文)" w:cs="等线(中文正文)" w:eastAsia="等线(中文正文)"/>
          <w:b w:val="false"/>
          <w:i w:val="false"/>
          <w:sz w:val="20"/>
        </w:rPr>
        <w:t/>
      </w:r>
    </w:p>
    <w:p>
      <w:pPr>
        <w:pStyle w:val="ab"/>
      </w:pPr>
      <w:r>
        <w:t>GPU在训练过程中的角色是什么，以及它如何与CPU交互？</w:t>
      </w:r>
    </w:p>
    <w:p>
      <w:r>
        <w:rPr>
          <w:rFonts w:ascii="等线(中文正文)" w:hAnsi="等线(中文正文)" w:cs="等线(中文正文)" w:eastAsia="等线(中文正文)"/>
          <w:b w:val="false"/>
          <w:i w:val="false"/>
          <w:sz w:val="20"/>
        </w:rPr>
        <w:t>发言人1：GPU在训练过程中主要负责等待并接收CPU环境变量的返回结果，由于环境延迟问题，会拖慢后训练进程。推理阶段，CPU会真实执行工具调用，包括结果解析、错误处理以及管理多个模型的状态。例如，在大型项目中，当本地CPU资源不足时，训练过程可能转移到云端服务器上的CPU上，并通过agent管理功能进行推理。</w:t>
      </w:r>
    </w:p>
    <w:p>
      <w:r>
        <w:rPr>
          <w:rFonts w:ascii="等线(中文正文)" w:hAnsi="等线(中文正文)" w:cs="等线(中文正文)" w:eastAsia="等线(中文正文)"/>
          <w:b w:val="false"/>
          <w:i w:val="false"/>
          <w:sz w:val="20"/>
        </w:rPr>
        <w:t/>
      </w:r>
    </w:p>
    <w:p>
      <w:pPr>
        <w:pStyle w:val="ab"/>
      </w:pPr>
      <w:r>
        <w:t>长安学习算法的设计哲学以及PPO与PRPO算法有何不同？</w:t>
      </w:r>
    </w:p>
    <w:p>
      <w:r>
        <w:rPr>
          <w:rFonts w:ascii="等线(中文正文)" w:hAnsi="等线(中文正文)" w:cs="等线(中文正文)" w:eastAsia="等线(中文正文)"/>
          <w:b w:val="false"/>
          <w:i w:val="false"/>
          <w:sz w:val="20"/>
        </w:rPr>
        <w:t>发言人1：R1时期，大家更倾向于使用近端策略优化（PPO）算法，它通过维护学生模型和老师模型来实现学习目标，需要翻倍的计算资源，类似单人辅导场景。而I之后的PRPO算法则取消了老师模型，采用组内平均采样取代打分指导，减少显存占用并解决老师模型无法找到合适价值函数的问题，通过观察事实进行后训练，提高了训练信号的质量，节省了GPU的HPM占用。</w:t>
      </w:r>
    </w:p>
    <w:p>
      <w:r>
        <w:rPr>
          <w:rFonts w:ascii="等线(中文正文)" w:hAnsi="等线(中文正文)" w:cs="等线(中文正文)" w:eastAsia="等线(中文正文)"/>
          <w:b w:val="false"/>
          <w:i w:val="false"/>
          <w:sz w:val="20"/>
        </w:rPr>
        <w:t/>
      </w:r>
    </w:p>
    <w:p>
      <w:pPr>
        <w:pStyle w:val="ab"/>
      </w:pPr>
      <w:r>
        <w:t>异步GRPO相较于PPO有哪些改进，以及对CPU需求的影响？</w:t>
      </w:r>
    </w:p>
    <w:p>
      <w:r>
        <w:rPr>
          <w:rFonts w:ascii="等线(中文正文)" w:hAnsi="等线(中文正文)" w:cs="等线(中文正文)" w:eastAsia="等线(中文正文)"/>
          <w:b w:val="false"/>
          <w:i w:val="false"/>
          <w:sz w:val="20"/>
        </w:rPr>
        <w:t>发言人1：异步GRPO通过计算相对排名，根据观测事实进行后训练，解决了上一代老师模型估不准的问题，并通过异步方式减少了GPU空转，允许并行采样大幅度增加到几十甚至上百次，从而进一步提升了单位时间内CPU的需求上限。自2025年下半年以来，异步强化学习已成为标配，显著提升了agent的训练速度和效果。</w:t>
      </w:r>
    </w:p>
    <w:p>
      <w:r>
        <w:rPr>
          <w:rFonts w:ascii="等线(中文正文)" w:hAnsi="等线(中文正文)" w:cs="等线(中文正文)" w:eastAsia="等线(中文正文)"/>
          <w:b w:val="false"/>
          <w:i w:val="false"/>
          <w:sz w:val="20"/>
        </w:rPr>
        <w:t/>
      </w:r>
    </w:p>
    <w:p>
      <w:pPr>
        <w:pStyle w:val="ab"/>
      </w:pPr>
      <w:r>
        <w:t>当前训练和推理算力消耗的占比情况如何？</w:t>
      </w:r>
    </w:p>
    <w:p>
      <w:r>
        <w:rPr>
          <w:rFonts w:ascii="等线(中文正文)" w:hAnsi="等线(中文正文)" w:cs="等线(中文正文)" w:eastAsia="等线(中文正文)"/>
          <w:b w:val="false"/>
          <w:i w:val="false"/>
          <w:sz w:val="20"/>
        </w:rPr>
        <w:t>发言人1：目前训练和推理的算力消耗基本平衡，没有明显一方占据绝对优势。特别是在企业级应用中，如sofia和open I等平台还在初期渗透阶段，对于前瞻性的模型训练，其CPU消耗通常会早于推理需求。</w:t>
      </w:r>
    </w:p>
    <w:p>
      <w:r>
        <w:rPr>
          <w:rFonts w:ascii="等线(中文正文)" w:hAnsi="等线(中文正文)" w:cs="等线(中文正文)" w:eastAsia="等线(中文正文)"/>
          <w:b w:val="false"/>
          <w:i w:val="false"/>
          <w:sz w:val="20"/>
        </w:rPr>
        <w:t/>
      </w:r>
    </w:p>
    <w:p>
      <w:pPr>
        <w:pStyle w:val="ab"/>
      </w:pPr>
      <w:r>
        <w:t>目前agent在服务器端的部署是否会导致CPU资源紧缺，并且涨价趋势如何？</w:t>
      </w:r>
    </w:p>
    <w:p>
      <w:r>
        <w:rPr>
          <w:rFonts w:ascii="等线(中文正文)" w:hAnsi="等线(中文正文)" w:cs="等线(中文正文)" w:eastAsia="等线(中文正文)"/>
          <w:b w:val="false"/>
          <w:i w:val="false"/>
          <w:sz w:val="20"/>
        </w:rPr>
        <w:t>发言人1：现在agent的云托管功能虽然推出不久，但基于本地数据环境的考虑，很多专家和高手还是选择在自己的PCD上运行，这使得目前仍处于client类型的CPU用量阶段，还未进入预期中的agent推理CPU放量阶段。如果以训练为主导引发CPU紧缺，那么涨价趋势现在正处于加速阶段。</w:t>
      </w:r>
    </w:p>
    <w:p>
      <w:r>
        <w:rPr>
          <w:rFonts w:ascii="等线(中文正文)" w:hAnsi="等线(中文正文)" w:cs="等线(中文正文)" w:eastAsia="等线(中文正文)"/>
          <w:b w:val="false"/>
          <w:i w:val="false"/>
          <w:sz w:val="20"/>
        </w:rPr>
        <w:t/>
      </w:r>
    </w:p>
    <w:p>
      <w:pPr>
        <w:pStyle w:val="ab"/>
      </w:pPr>
      <w:r>
        <w:t>对于计算资源需求预测是否存在过高估的情况？</w:t>
      </w:r>
    </w:p>
    <w:p>
      <w:r>
        <w:rPr>
          <w:rFonts w:ascii="等线(中文正文)" w:hAnsi="等线(中文正文)" w:cs="等线(中文正文)" w:eastAsia="等线(中文正文)"/>
          <w:b w:val="false"/>
          <w:i w:val="false"/>
          <w:sz w:val="20"/>
        </w:rPr>
        <w:t>发言人1：每一代计算资源需求预测往往会高估远期需求，而实际中技术效率提升往往会超过预期，例如分时技术的发展解决了早期互联网带宽问题，以及移动端APP对计算资源需求的预测最终也因服务器密度大幅度提升而未成为主流瓶颈。</w:t>
      </w:r>
    </w:p>
    <w:p>
      <w:r>
        <w:rPr>
          <w:rFonts w:ascii="等线(中文正文)" w:hAnsi="等线(中文正文)" w:cs="等线(中文正文)" w:eastAsia="等线(中文正文)"/>
          <w:b w:val="false"/>
          <w:i w:val="false"/>
          <w:sz w:val="20"/>
        </w:rPr>
        <w:t/>
      </w:r>
    </w:p>
    <w:p>
      <w:pPr>
        <w:pStyle w:val="ab"/>
      </w:pPr>
      <w:r>
        <w:t>虚拟化技术对CPU硬件的影响以及当前agent在县城级别运行时可能出现的问题是什么？</w:t>
      </w:r>
    </w:p>
    <w:p>
      <w:r>
        <w:rPr>
          <w:rFonts w:ascii="等线(中文正文)" w:hAnsi="等线(中文正文)" w:cs="等线(中文正文)" w:eastAsia="等线(中文正文)"/>
          <w:b w:val="false"/>
          <w:i w:val="false"/>
          <w:sz w:val="20"/>
        </w:rPr>
        <w:t>发言人1：虚拟化技术对CPU硬件有负向贝塔效应，完整虚拟机或容器通常需要1到4个核心，而轻量级虚拟机可能只需一个核心。虚拟化通过操作系统分时复用可以更细致地切分单个核心的工作，从而提高CPU利用率。然而，在agent在县城级别运行时，由于频繁的状态切换导致DRAM中数据需要频繁调用，容易出现性能瓶颈，沙箱可能会保持独占1到2个核心一段时间，但不能直接据此推算长期用量。</w:t>
      </w:r>
    </w:p>
    <w:p>
      <w:r>
        <w:rPr>
          <w:rFonts w:ascii="等线(中文正文)" w:hAnsi="等线(中文正文)" w:cs="等线(中文正文)" w:eastAsia="等线(中文正文)"/>
          <w:b w:val="false"/>
          <w:i w:val="false"/>
          <w:sz w:val="20"/>
        </w:rPr>
        <w:t/>
      </w:r>
    </w:p>
    <w:p>
      <w:pPr>
        <w:pStyle w:val="ab"/>
      </w:pPr>
      <w:r>
        <w:t>总结来说，CPU对于agent并行的影响变量是怎样的？未来供需关系及涨价趋势如何？</w:t>
      </w:r>
    </w:p>
    <w:p>
      <w:r>
        <w:rPr>
          <w:rFonts w:ascii="等线(中文正文)" w:hAnsi="等线(中文正文)" w:cs="等线(中文正文)" w:eastAsia="等线(中文正文)"/>
          <w:b w:val="false"/>
          <w:i w:val="false"/>
          <w:sz w:val="20"/>
        </w:rPr>
        <w:t>发言人1：整体上，agent对CPU的影响变量是向上的，并且目前处于向推理转型的大市场阶段。虚拟化带来的CPU需求增长仍需关注，预计供需缺口会推动涨价趋势至少持续到Q3到Q4，当前处于涨价初期阶段。</w:t>
      </w:r>
    </w:p>
    <w:p>
      <w:r>
        <w:rPr>
          <w:rFonts w:ascii="等线(中文正文)" w:hAnsi="等线(中文正文)" w:cs="等线(中文正文)" w:eastAsia="等线(中文正文)"/>
          <w:b w:val="false"/>
          <w:i w:val="false"/>
          <w:sz w:val="20"/>
        </w:rPr>
        <w:t/>
      </w:r>
    </w:p>
    <w:p>
      <w:pPr>
        <w:pStyle w:val="ab"/>
      </w:pPr>
      <w:r>
        <w:t>英特尔和ARM在AI时代CPU配比变化及供需状况如何？</w:t>
      </w:r>
    </w:p>
    <w:p>
      <w:r>
        <w:rPr>
          <w:rFonts w:ascii="等线(中文正文)" w:hAnsi="等线(中文正文)" w:cs="等线(中文正文)" w:eastAsia="等线(中文正文)"/>
          <w:b w:val="false"/>
          <w:i w:val="false"/>
          <w:sz w:val="20"/>
        </w:rPr>
        <w:t>发言人1：CPU在AI时代的配比正在从1比8提升至1比4，甚至可能进一步演进到1比1或更多，这主要是由于agent带来的CPU用量增加。同时，由于整体市场对芯片先进制程的需求增长以及英特尔自身供给受限，供需缺口正在扩大，导致涨价成为趋势性现象。</w:t>
      </w:r>
    </w:p>
    <w:p>
      <w:r>
        <w:rPr>
          <w:rFonts w:ascii="等线(中文正文)" w:hAnsi="等线(中文正文)" w:cs="等线(中文正文)" w:eastAsia="等线(中文正文)"/>
          <w:b w:val="false"/>
          <w:i w:val="false"/>
          <w:sz w:val="20"/>
        </w:rPr>
        <w:t/>
      </w:r>
    </w:p>
    <w:p>
      <w:pPr>
        <w:pStyle w:val="ab"/>
      </w:pPr>
      <w:r>
        <w:t>英特尔目前关于CPU需求增长和供需缺口的具体表述是什么？</w:t>
      </w:r>
    </w:p>
    <w:p>
      <w:r>
        <w:rPr>
          <w:rFonts w:ascii="等线(中文正文)" w:hAnsi="等线(中文正文)" w:cs="等线(中文正文)" w:eastAsia="等线(中文正文)"/>
          <w:b w:val="false"/>
          <w:i w:val="false"/>
          <w:sz w:val="20"/>
        </w:rPr>
        <w:t>发言人1：英特尔表示，CPU的需求配比将从训练时期的1比8演变为推理时期的保底1比4，并可能持续反转。Q2因供给约束导致的销售额损失达到数十亿美元级别，表明当前营收远未触及真实需求天花板，供需缺口依然较大，涨价趋势将持续较长时间。</w:t>
      </w:r>
    </w:p>
    <w:p>
      <w:r>
        <w:rPr>
          <w:rFonts w:ascii="等线(中文正文)" w:hAnsi="等线(中文正文)" w:cs="等线(中文正文)" w:eastAsia="等线(中文正文)"/>
          <w:b w:val="false"/>
          <w:i w:val="false"/>
          <w:sz w:val="20"/>
        </w:rPr>
        <w:t/>
      </w:r>
    </w:p>
    <w:p>
      <w:pPr>
        <w:pStyle w:val="ab"/>
      </w:pPr>
      <w:r>
        <w:t>英特尔主业（包括芯片销售和先进封装业务）的具体表现如何？</w:t>
      </w:r>
    </w:p>
    <w:p>
      <w:r>
        <w:rPr>
          <w:rFonts w:ascii="等线(中文正文)" w:hAnsi="等线(中文正文)" w:cs="等线(中文正文)" w:eastAsia="等线(中文正文)"/>
          <w:b w:val="false"/>
          <w:i w:val="false"/>
          <w:sz w:val="20"/>
        </w:rPr>
        <w:t>发言人1：英特尔主业方面，CPU和GPU销量稳步增长，先进制程和先进封装业务的良率提升显著，已拿到客户订单和中长期合同。18A良率超过内部预期，14A成熟度甚至优于18A；此外，Fab业务量也有较大增长，PB范畴内的提升达到3到4倍以上，同时ASIC业务收入已超过10亿美元，显示出为CSP定制专用芯片的能力。</w:t>
      </w:r>
    </w:p>
    <w:p>
      <w:r>
        <w:rPr>
          <w:rFonts w:ascii="等线(中文正文)" w:hAnsi="等线(中文正文)" w:cs="等线(中文正文)" w:eastAsia="等线(中文正文)"/>
          <w:b w:val="false"/>
          <w:i w:val="false"/>
          <w:sz w:val="20"/>
        </w:rPr>
        <w:t/>
      </w:r>
    </w:p>
    <w:p>
      <w:pPr>
        <w:pStyle w:val="ab"/>
      </w:pPr>
      <w:r>
        <w:t>AMD服务器CPU业务的情况如何？</w:t>
      </w:r>
    </w:p>
    <w:p>
      <w:r>
        <w:rPr>
          <w:rFonts w:ascii="等线(中文正文)" w:hAnsi="等线(中文正文)" w:cs="等线(中文正文)" w:eastAsia="等线(中文正文)"/>
          <w:b w:val="false"/>
          <w:i w:val="false"/>
          <w:sz w:val="20"/>
        </w:rPr>
        <w:t>发言人1：AMD服务器CPU业务表现强劲，其贡献了超过70%的收入，并且管理层将服务器CPU的总市场容量（TAM）从一年前的约600亿美元上调至120亿美元。预计下一个季度服务器CPU营收将同比增长超过70%，同时由于大型CSP需求远超供给，AMD和英特尔已上调了CPU价格，涨幅达10%至15%。此外，2026年全年的产能已经售罄，随着需求增长，涨价趋势可能还会继续，预计Q3和Q4会有新一轮涨价加速。</w:t>
      </w:r>
    </w:p>
    <w:p>
      <w:r>
        <w:rPr>
          <w:rFonts w:ascii="等线(中文正文)" w:hAnsi="等线(中文正文)" w:cs="等线(中文正文)" w:eastAsia="等线(中文正文)"/>
          <w:b w:val="false"/>
          <w:i w:val="false"/>
          <w:sz w:val="20"/>
        </w:rPr>
        <w:t/>
      </w:r>
    </w:p>
    <w:p>
      <w:pPr>
        <w:pStyle w:val="ab"/>
      </w:pPr>
      <w:r>
        <w:t>对于AMD而言，接下来关注的重点是什么？</w:t>
      </w:r>
    </w:p>
    <w:p>
      <w:r>
        <w:rPr>
          <w:rFonts w:ascii="等线(中文正文)" w:hAnsi="等线(中文正文)" w:cs="等线(中文正文)" w:eastAsia="等线(中文正文)"/>
          <w:b w:val="false"/>
          <w:i w:val="false"/>
          <w:sz w:val="20"/>
        </w:rPr>
        <w:t>发言人1：AMD接下来将密切关注GPU方面的环比增速，特别是米355X以及第三季度米450的出货量和客户反馈，尤其是其在oracle云实力上的上架情况。同时，AMD作为多元化芯片公司，其能否在2027年获得较大市场份额的关键在于能否成功联动CPU、GPU和机柜式解决方案，全栈的商业化进展可能在Q4有所体现。</w:t>
      </w:r>
    </w:p>
    <w:p>
      <w:r>
        <w:rPr>
          <w:rFonts w:ascii="等线(中文正文)" w:hAnsi="等线(中文正文)" w:cs="等线(中文正文)" w:eastAsia="等线(中文正文)"/>
          <w:b w:val="false"/>
          <w:i w:val="false"/>
          <w:sz w:val="20"/>
        </w:rPr>
        <w:t/>
      </w:r>
    </w:p>
    <w:p>
      <w:pPr>
        <w:pStyle w:val="ab"/>
      </w:pPr>
      <w:r>
        <w:t>ARM财报方面市场关注点是什么？</w:t>
      </w:r>
    </w:p>
    <w:p>
      <w:r>
        <w:rPr>
          <w:rFonts w:ascii="等线(中文正文)" w:hAnsi="等线(中文正文)" w:cs="等线(中文正文)" w:eastAsia="等线(中文正文)"/>
          <w:b w:val="false"/>
          <w:i w:val="false"/>
          <w:sz w:val="20"/>
        </w:rPr>
        <w:t>发言人1：市场关注ARM与x86架构的份额对比情况，以及ARM作为卖IP的厂商，在涨价驱动上的表现和对未来CPU容量、市场份额及发展战略的指引，这些信息可能比当期营收更加重要。</w:t>
      </w:r>
    </w:p>
    <w:p>
      <w:r>
        <w:rPr>
          <w:rFonts w:ascii="等线(中文正文)" w:hAnsi="等线(中文正文)" w:cs="等线(中文正文)" w:eastAsia="等线(中文正文)"/>
          <w:b w:val="false"/>
          <w:i w:val="false"/>
          <w:sz w:val="20"/>
        </w:rPr>
        <w:t/>
      </w:r>
    </w:p>
    <w:p>
      <w:pPr>
        <w:pStyle w:val="ab"/>
      </w:pPr>
      <w:r>
        <w:t>A股市场中有哪些芯片相关公司值得关注？</w:t>
      </w:r>
    </w:p>
    <w:p>
      <w:r>
        <w:rPr>
          <w:rFonts w:ascii="等线(中文正文)" w:hAnsi="等线(中文正文)" w:cs="等线(中文正文)" w:eastAsia="等线(中文正文)"/>
          <w:b w:val="false"/>
          <w:i w:val="false"/>
          <w:sz w:val="20"/>
        </w:rPr>
        <w:t>发言人1：A股市场中，芯片相关公司主要包括海光信息、盛新材、中国长城等，以及零部件厂商广和科技、澜起科技。其中，海光信息沿袭AMD的产品架构，在CPU和GPU领域具有较前的发展前景和客户端进展；禾盛新材持股的电子公司获得了ARM授权，未来有望在客户端取得深远进展，可视为弹性标的。另外，隆兴中科、中国长城、龙芯中科等是自研架构的国产芯片厂商，而广和科技则与海外互联网厂商合作提供CPU相关的PCB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