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南芯科技 260430_导读</w:t>
      </w:r>
    </w:p>
    <w:p>
      <w:pPr>
        <w:pStyle w:val="a0"/>
        <w:jc w:val="center"/>
      </w:pPr>
      <w:r>
        <w:t>2026年05月06日 01:38</w:t>
      </w:r>
    </w:p>
    <w:p>
      <w:pPr>
        <w:pStyle w:val="a7"/>
      </w:pPr>
      <w:r>
        <w:t>全文摘要</w:t>
      </w:r>
    </w:p>
    <w:p>
      <w:r>
        <w:rPr>
          <w:rFonts w:ascii="等线(中文正文)" w:hAnsi="等线(中文正文)" w:cs="等线(中文正文)" w:eastAsia="等线(中文正文)"/>
          <w:b w:val="false"/>
          <w:i w:val="false"/>
          <w:sz w:val="20"/>
        </w:rPr>
        <w:t>该公司在回顾2025年的业务布局和经营情况时，强调了在消费电子、汽车电子、工业领域以及智能算力领域的多元化发展策略。凭借强大的技术积累和全产业链布局能力，成功构建了一个覆盖广泛、技术协同、多场景赋能的业务生态，为全球客户提供高性能、高品质、高经济效益的系统解决方案。2025年，公司在营收、毛利率、研发投资等方面均实现了显著增长，其中汽车电子业务和工业领域业务增长尤其迅猛，为公司的未来发展奠定了坚实基础。展望未来，公司将持续深化平台化发展战略，加速产品创新和市场拓展，特别是在智能驾驶、工业应用、智能算力等领域，以实现长期的可持续发展和市场份额的扩大。公司对未来发展路径、研发投入以及市场策略等方面充满信心，表达了对公司未来业绩增长的乐观预期。</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2025年公司业务多元化发展及营收增长分析</w:t>
      </w:r>
    </w:p>
    <w:p>
      <w:r>
        <w:rPr>
          <w:rFonts w:ascii="等线(中文正文)" w:hAnsi="等线(中文正文)" w:cs="等线(中文正文)" w:eastAsia="等线(中文正文)"/>
          <w:b w:val="false"/>
          <w:i w:val="false"/>
          <w:sz w:val="20"/>
        </w:rPr>
        <w:t>2025年，公司通过多元化业务布局实现营收32.6亿元，同比增长27%，营收规模位列国内模拟行业前三。消费电子营收占比下降，但规模扩大；汽车电子和工业领域业务增长迅猛，营收占比提升。智能算力业务虽小，但毛利率高，预计2026年将迎来高速成长。公司总资产和净资产分别增长12.87%和6.32%，毛利率企稳回升，业务结构持续优化，未来发展潜力巨大。</w:t>
      </w:r>
    </w:p>
    <w:p>
      <w:r>
        <w:rPr>
          <w:rFonts w:ascii="等线(中文正文)" w:hAnsi="等线(中文正文)" w:cs="等线(中文正文)" w:eastAsia="等线(中文正文)"/>
          <w:b w:val="false"/>
          <w:i w:val="false"/>
          <w:sz w:val="20"/>
        </w:rPr>
        <w:t/>
      </w:r>
    </w:p>
    <w:p>
      <w:pPr>
        <w:pStyle w:val="ab"/>
        <w:numPr>
          <w:numId w:val="2"/>
        </w:numPr>
      </w:pPr>
      <w:r>
        <w:t>05:40 2025-2026年公司海外业务拓展与研发创新</w:t>
      </w:r>
    </w:p>
    <w:p>
      <w:r>
        <w:rPr>
          <w:rFonts w:ascii="等线(中文正文)" w:hAnsi="等线(中文正文)" w:cs="等线(中文正文)" w:eastAsia="等线(中文正文)"/>
          <w:b w:val="false"/>
          <w:i w:val="false"/>
          <w:sz w:val="20"/>
        </w:rPr>
        <w:t>2025年，公司加大研发投入，研发费用同比增长48.23%，研发人员占比达68.13%，新增料号1000颗，获授权专利84项。海外业务实现关键突破，如韩国三星业务量产出货，预计2026年海外收入规模将数倍增长。2026年，公司将继续加速海外产品导入，完善海外业务体系，拓展欧美亚太市场，海外业务将成为重要商业版图。</w:t>
      </w:r>
    </w:p>
    <w:p>
      <w:r>
        <w:rPr>
          <w:rFonts w:ascii="等线(中文正文)" w:hAnsi="等线(中文正文)" w:cs="等线(中文正文)" w:eastAsia="等线(中文正文)"/>
          <w:b w:val="false"/>
          <w:i w:val="false"/>
          <w:sz w:val="20"/>
        </w:rPr>
        <w:t/>
      </w:r>
    </w:p>
    <w:p>
      <w:pPr>
        <w:pStyle w:val="ab"/>
        <w:numPr>
          <w:numId w:val="3"/>
        </w:numPr>
      </w:pPr>
      <w:r>
        <w:t>10:58 公司研发投入加大，推动智能汽车与AI领域创新</w:t>
      </w:r>
    </w:p>
    <w:p>
      <w:r>
        <w:rPr>
          <w:rFonts w:ascii="等线(中文正文)" w:hAnsi="等线(中文正文)" w:cs="等线(中文正文)" w:eastAsia="等线(中文正文)"/>
          <w:b w:val="false"/>
          <w:i w:val="false"/>
          <w:sz w:val="20"/>
        </w:rPr>
        <w:t>自2024年下半年起，公司加大研发投入，重点布局平台化，2025年进入高产出阶段，发布多款重磅产品，涵盖智能驾驶、AI算力等领域，助力国产化创新升级，构建多元业务平台型公司，加速智能汽车电子平台化能力，紧抓国产化及产品出海机遇。</w:t>
      </w:r>
    </w:p>
    <w:p>
      <w:r>
        <w:rPr>
          <w:rFonts w:ascii="等线(中文正文)" w:hAnsi="等线(中文正文)" w:cs="等线(中文正文)" w:eastAsia="等线(中文正文)"/>
          <w:b w:val="false"/>
          <w:i w:val="false"/>
          <w:sz w:val="20"/>
        </w:rPr>
        <w:t/>
      </w:r>
    </w:p>
    <w:p>
      <w:pPr>
        <w:pStyle w:val="ab"/>
        <w:numPr>
          <w:numId w:val="4"/>
        </w:numPr>
      </w:pPr>
      <w:r>
        <w:t>13:59 2026年国产电源芯片与汽车电子市场前景展望</w:t>
      </w:r>
    </w:p>
    <w:p>
      <w:r>
        <w:rPr>
          <w:rFonts w:ascii="等线(中文正文)" w:hAnsi="等线(中文正文)" w:cs="等线(中文正文)" w:eastAsia="等线(中文正文)"/>
          <w:b w:val="false"/>
          <w:i w:val="false"/>
          <w:sz w:val="20"/>
        </w:rPr>
        <w:t>公司预计2026年将通过深化平台化战略，在汽车、电子、智能算力和工业领域加大研发投入，推动新产品多元化与商业化。尤其在汽车电子领域，公司自2021年启动业务以来，从0到1实现了快速增长，2025年收入已超2亿元，年增长率分别达到149.07%和140.5%。未来，公司将聚焦智能驾驶、车身控制和智能座舱三大领域，提供全国产一站式解决方案，加速国产生态发展，预计2026年汽车业务将保持高增长率。</w:t>
      </w:r>
    </w:p>
    <w:p>
      <w:r>
        <w:rPr>
          <w:rFonts w:ascii="等线(中文正文)" w:hAnsi="等线(中文正文)" w:cs="等线(中文正文)" w:eastAsia="等线(中文正文)"/>
          <w:b w:val="false"/>
          <w:i w:val="false"/>
          <w:sz w:val="20"/>
        </w:rPr>
        <w:t/>
      </w:r>
    </w:p>
    <w:p>
      <w:pPr>
        <w:pStyle w:val="ab"/>
        <w:numPr>
          <w:numId w:val="5"/>
        </w:numPr>
      </w:pPr>
      <w:r>
        <w:t>17:58 公司聚焦国产化与AI芯片布局，拓展全球市场</w:t>
      </w:r>
    </w:p>
    <w:p>
      <w:r>
        <w:rPr>
          <w:rFonts w:ascii="等线(中文正文)" w:hAnsi="等线(中文正文)" w:cs="等线(中文正文)" w:eastAsia="等线(中文正文)"/>
          <w:b w:val="false"/>
          <w:i w:val="false"/>
          <w:sz w:val="20"/>
        </w:rPr>
        <w:t>公司已在多个细分领域取得国产第一，未来将通过丰富产品矩阵、拓展市场份额及开拓海外市场，实现业绩高速增长。重点布局汽车电子、工业产品及AI芯片，预计2026年工业领域业务增速达129.90%。AI战略下，公司将推出更多高性能产品，满足数据中心、网络设备等应用场景需求，同时深化与全球电源模组厂合作，提升在AI服务器领域的渗透率。</w:t>
      </w:r>
    </w:p>
    <w:p>
      <w:r>
        <w:rPr>
          <w:rFonts w:ascii="等线(中文正文)" w:hAnsi="等线(中文正文)" w:cs="等线(中文正文)" w:eastAsia="等线(中文正文)"/>
          <w:b w:val="false"/>
          <w:i w:val="false"/>
          <w:sz w:val="20"/>
        </w:rPr>
        <w:t/>
      </w:r>
    </w:p>
    <w:p>
      <w:pPr>
        <w:pStyle w:val="ab"/>
        <w:numPr>
          <w:numId w:val="6"/>
        </w:numPr>
      </w:pPr>
      <w:r>
        <w:t>23:08 2025年报收入分类标准及未来增长目标讨论</w:t>
      </w:r>
    </w:p>
    <w:p>
      <w:r>
        <w:rPr>
          <w:rFonts w:ascii="等线(中文正文)" w:hAnsi="等线(中文正文)" w:cs="等线(中文正文)" w:eastAsia="等线(中文正文)"/>
          <w:b w:val="false"/>
          <w:i w:val="false"/>
          <w:sz w:val="20"/>
        </w:rPr>
        <w:t>对话围绕2025年报中收入结构的重新分类标准展开，包括消费电子、智能算力等领域的划分依据，特别是针对AI相关产品分类的界定。同时，讨论了2026年的收入目标和四大领域（智能商业、消费电子、工业、汽车电子）的增长预期，指出智能商业可能增长最快，而消费电子增长最慢，工业与汽车电子中工业增长较快。</w:t>
      </w:r>
    </w:p>
    <w:p>
      <w:r>
        <w:rPr>
          <w:rFonts w:ascii="等线(中文正文)" w:hAnsi="等线(中文正文)" w:cs="等线(中文正文)" w:eastAsia="等线(中文正文)"/>
          <w:b w:val="false"/>
          <w:i w:val="false"/>
          <w:sz w:val="20"/>
        </w:rPr>
        <w:t/>
      </w:r>
    </w:p>
    <w:p>
      <w:pPr>
        <w:pStyle w:val="ab"/>
        <w:numPr>
          <w:numId w:val="7"/>
        </w:numPr>
      </w:pPr>
      <w:r>
        <w:t>27:36 2026年公司业绩目标与市场趋势分析</w:t>
      </w:r>
    </w:p>
    <w:p>
      <w:r>
        <w:rPr>
          <w:rFonts w:ascii="等线(中文正文)" w:hAnsi="等线(中文正文)" w:cs="等线(中文正文)" w:eastAsia="等线(中文正文)"/>
          <w:b w:val="false"/>
          <w:i w:val="false"/>
          <w:sz w:val="20"/>
        </w:rPr>
        <w:t>公司维持全年40亿收入目标，汽车和工业领域需求超预期，消费电子虽受涨价影响但已恢复常态，预计后续增长态势将持续。三星客户表现优于预期，份额提升及新产品导入加速，有望带动营收增长。</w:t>
      </w:r>
    </w:p>
    <w:p>
      <w:r>
        <w:rPr>
          <w:rFonts w:ascii="等线(中文正文)" w:hAnsi="等线(中文正文)" w:cs="等线(中文正文)" w:eastAsia="等线(中文正文)"/>
          <w:b w:val="false"/>
          <w:i w:val="false"/>
          <w:sz w:val="20"/>
        </w:rPr>
        <w:t/>
      </w:r>
    </w:p>
    <w:p>
      <w:pPr>
        <w:pStyle w:val="ab"/>
        <w:numPr>
          <w:numId w:val="8"/>
        </w:numPr>
      </w:pPr>
      <w:r>
        <w:t>32:15 毛利率波动及汽车业务盈利前景分析</w:t>
      </w:r>
    </w:p>
    <w:p>
      <w:r>
        <w:rPr>
          <w:rFonts w:ascii="等线(中文正文)" w:hAnsi="等线(中文正文)" w:cs="等线(中文正文)" w:eastAsia="等线(中文正文)"/>
          <w:b w:val="false"/>
          <w:i w:val="false"/>
          <w:sz w:val="20"/>
        </w:rPr>
        <w:t>对话探讨了一季度毛利率环比下降的原因，指出供应链涨价影响尚未完全体现在一季度数据中，预计二季度成本上涨将显现。对于汽车业务，尽管面临市场竞争，公司仍致力于维持约140%的毛利率水平，视其为经营核心指标。整体来看，毛利率正逐步企稳，供应链策略有效缓解了成本压力。</w:t>
      </w:r>
    </w:p>
    <w:p>
      <w:r>
        <w:rPr>
          <w:rFonts w:ascii="等线(中文正文)" w:hAnsi="等线(中文正文)" w:cs="等线(中文正文)" w:eastAsia="等线(中文正文)"/>
          <w:b w:val="false"/>
          <w:i w:val="false"/>
          <w:sz w:val="20"/>
        </w:rPr>
        <w:t/>
      </w:r>
    </w:p>
    <w:p>
      <w:pPr>
        <w:pStyle w:val="ab"/>
        <w:numPr>
          <w:numId w:val="9"/>
        </w:numPr>
      </w:pPr>
      <w:r>
        <w:t>36:52 研发人员与费用规划讨论</w:t>
      </w:r>
    </w:p>
    <w:p>
      <w:r>
        <w:rPr>
          <w:rFonts w:ascii="等线(中文正文)" w:hAnsi="等线(中文正文)" w:cs="等线(中文正文)" w:eastAsia="等线(中文正文)"/>
          <w:b w:val="false"/>
          <w:i w:val="false"/>
          <w:sz w:val="20"/>
        </w:rPr>
        <w:t>对话围绕研发人员招聘比例和研发费用增长展开。去年研发人员增加至840人，今年预计在新产品领域补充人才，但人数增长有限。费用率受去年招聘影响，预计今年仍较高，但具体取决于营收增长。</w:t>
      </w:r>
    </w:p>
    <w:p>
      <w:r>
        <w:rPr>
          <w:rFonts w:ascii="等线(中文正文)" w:hAnsi="等线(中文正文)" w:cs="等线(中文正文)" w:eastAsia="等线(中文正文)"/>
          <w:b w:val="false"/>
          <w:i w:val="false"/>
          <w:sz w:val="20"/>
        </w:rPr>
        <w:t/>
      </w:r>
    </w:p>
    <w:p>
      <w:pPr>
        <w:pStyle w:val="ab"/>
        <w:numPr>
          <w:numId w:val="10"/>
        </w:numPr>
      </w:pPr>
      <w:r>
        <w:t>38:45 供应链成本与新国标对收入影响分析</w:t>
      </w:r>
    </w:p>
    <w:p>
      <w:r>
        <w:rPr>
          <w:rFonts w:ascii="等线(中文正文)" w:hAnsi="等线(中文正文)" w:cs="等线(中文正文)" w:eastAsia="等线(中文正文)"/>
          <w:b w:val="false"/>
          <w:i w:val="false"/>
          <w:sz w:val="20"/>
        </w:rPr>
        <w:t>对话讨论了未来1-2季度供应链成本上升的可能性，认为短期内价格上调机会不大，公司通过深度合作保持成本优势。同时，新充电宝国标带来替换需求，预计2026年收入将正向增长。</w:t>
      </w:r>
    </w:p>
    <w:p>
      <w:r>
        <w:rPr>
          <w:rFonts w:ascii="等线(中文正文)" w:hAnsi="等线(中文正文)" w:cs="等线(中文正文)" w:eastAsia="等线(中文正文)"/>
          <w:b w:val="false"/>
          <w:i w:val="false"/>
          <w:sz w:val="20"/>
        </w:rPr>
        <w:t/>
      </w:r>
    </w:p>
    <w:p>
      <w:pPr>
        <w:pStyle w:val="ab"/>
        <w:numPr>
          <w:numId w:val="11"/>
        </w:numPr>
      </w:pPr>
      <w:r>
        <w:t>42:18 新产品进展及市场策略讨论</w:t>
      </w:r>
    </w:p>
    <w:p>
      <w:r>
        <w:rPr>
          <w:rFonts w:ascii="等线(中文正文)" w:hAnsi="等线(中文正文)" w:cs="等线(中文正文)" w:eastAsia="等线(中文正文)"/>
          <w:b w:val="false"/>
          <w:i w:val="false"/>
          <w:sz w:val="20"/>
        </w:rPr>
        <w:t>对话围绕新产品进展及市场策略展开，提及多项控制器和大电流DR mos产品已在去年九月推向市场，预计今年商业化落地并贡献营收。车载东方控制器和低压帽子产品预计近期推出，服务器端应用可能在三季度末四季度初。产品需经客户验证测试，周期取决于大客户导入节奏。公司注重大客户需求，产品性能和工艺积累为竞争优势。</w:t>
      </w:r>
    </w:p>
    <w:p>
      <w:r>
        <w:rPr>
          <w:rFonts w:ascii="等线(中文正文)" w:hAnsi="等线(中文正文)" w:cs="等线(中文正文)" w:eastAsia="等线(中文正文)"/>
          <w:b w:val="false"/>
          <w:i w:val="false"/>
          <w:sz w:val="20"/>
        </w:rPr>
        <w:t/>
      </w:r>
    </w:p>
    <w:p>
      <w:pPr>
        <w:pStyle w:val="ab"/>
        <w:numPr>
          <w:numId w:val="12"/>
        </w:numPr>
      </w:pPr>
      <w:r>
        <w:t>47:19 车载电子产品的技术优势与市场前景</w:t>
      </w:r>
    </w:p>
    <w:p>
      <w:r>
        <w:rPr>
          <w:rFonts w:ascii="等线(中文正文)" w:hAnsi="等线(中文正文)" w:cs="等线(中文正文)" w:eastAsia="等线(中文正文)"/>
          <w:b w:val="false"/>
          <w:i w:val="false"/>
          <w:sz w:val="20"/>
        </w:rPr>
        <w:t>车载电子产品的技术优势和市场前景是讨论的重点，强调了公司在底层技术能力上的长处，以及在2025年汽车电子收入突破2亿后，预计2026年营收翻倍增长的目标。公司通过产品矩阵的完整性和高价值量产品如毫米波雷达、ATF等的推广，有望在2027年进一步提升市场份额，实现商业化营收的提前达成。</w:t>
      </w:r>
    </w:p>
    <w:p>
      <w:r>
        <w:rPr>
          <w:rFonts w:ascii="等线(中文正文)" w:hAnsi="等线(中文正文)" w:cs="等线(中文正文)" w:eastAsia="等线(中文正文)"/>
          <w:b w:val="false"/>
          <w:i w:val="false"/>
          <w:sz w:val="20"/>
        </w:rPr>
        <w:t/>
      </w:r>
    </w:p>
    <w:p>
      <w:pPr>
        <w:pStyle w:val="ab"/>
        <w:numPr>
          <w:numId w:val="13"/>
        </w:numPr>
      </w:pPr>
      <w:r>
        <w:t>51:14 消费电子与工业端新产品拓展及技术布局讨论</w:t>
      </w:r>
    </w:p>
    <w:p>
      <w:r>
        <w:rPr>
          <w:rFonts w:ascii="等线(中文正文)" w:hAnsi="等线(中文正文)" w:cs="等线(中文正文)" w:eastAsia="等线(中文正文)"/>
          <w:b w:val="false"/>
          <w:i w:val="false"/>
          <w:sz w:val="20"/>
        </w:rPr>
        <w:t>讨论了消费电子市场中新兴消费终端如AI眼镜、饮食设备、拍摄设备和无人机的拓展情况，强调了工业端产品如高压ECTC、大电流产品及DMS的布局与研发资源投入。提及了公司在BCD工艺上的技术积累与特殊工艺布局，但未透露具体技术细节。整体会议围绕新产品开发和工业应用展开，展现了公司在工业端的深耕与未来规划。</w:t>
      </w:r>
    </w:p>
    <w:p>
      <w:r>
        <w:rPr>
          <w:rFonts w:ascii="等线(中文正文)" w:hAnsi="等线(中文正文)" w:cs="等线(中文正文)" w:eastAsia="等线(中文正文)"/>
          <w:b w:val="false"/>
          <w:i w:val="false"/>
          <w:sz w:val="20"/>
        </w:rPr>
        <w:t/>
      </w:r>
    </w:p>
    <w:p>
      <w:pPr>
        <w:pStyle w:val="a7"/>
      </w:pPr>
      <w:r>
        <w:t>发言总结</w:t>
      </w:r>
    </w:p>
    <w:p>
      <w:pPr>
        <w:pStyle w:val="ab"/>
        <w:numPr>
          <w:numId w:val="14"/>
        </w:numPr>
      </w:pPr>
      <w:r>
        <w:t>发言人1</w:t>
      </w:r>
    </w:p>
    <w:p>
      <w:r>
        <w:rPr>
          <w:rFonts w:ascii="等线(中文正文)" w:hAnsi="等线(中文正文)" w:cs="等线(中文正文)" w:eastAsia="等线(中文正文)"/>
          <w:b w:val="false"/>
          <w:i w:val="false"/>
          <w:sz w:val="20"/>
        </w:rPr>
        <w:t>概述了公司的发展战略、技术积累、市场布局以及财务表现。公司深度布局云网边端AI全场景，通过平台化技术积累构建多技术协同的业务生态，为全球客户提供高性能、高品质、高经济效益的系统解决方案。预计到2025年，消费电子市场需求弱复苏，汽车电子市场需求稳步增长，工业模拟新兴市场需求明显，公司营收达32.6亿元，同比增长27%，在国内模拟行业排名前列。各季度营收稳定增长，业务多元化驱动业绩，特别是在汽车电子和工业领域的快速增长。尽管消费电子领域的营收占比下降，但汽车和工业电子业务的增长推动了整体营收结构的优化。公司研发投入持续增加，研发人员比例高达68.13%，致力于新产品开发和技术革新，以支持未来的发展和市场拓展。他还讨论了存货管理、毛利率变动及成本控制策略，指出公司将通过提前备货和优化供应链管理以应对市场挑战。最后，他展望了未来，包括AI时代下国产算力的发展机遇以及公司如何继续在全球市场中占据领先地位。</w:t>
      </w:r>
    </w:p>
    <w:p>
      <w:r>
        <w:rPr>
          <w:rFonts w:ascii="等线(中文正文)" w:hAnsi="等线(中文正文)" w:cs="等线(中文正文)" w:eastAsia="等线(中文正文)"/>
          <w:b w:val="false"/>
          <w:i w:val="false"/>
          <w:sz w:val="20"/>
        </w:rPr>
        <w:t/>
      </w:r>
    </w:p>
    <w:p>
      <w:pPr>
        <w:pStyle w:val="a7"/>
      </w:pPr>
      <w:r>
        <w:t>要点回顾</w:t>
      </w:r>
    </w:p>
    <w:p>
      <w:pPr>
        <w:pStyle w:val="ab"/>
      </w:pPr>
      <w:r>
        <w:t>公司2025年的整体经营状况如何？</w:t>
      </w:r>
    </w:p>
    <w:p>
      <w:r>
        <w:rPr>
          <w:rFonts w:ascii="等线(中文正文)" w:hAnsi="等线(中文正文)" w:cs="等线(中文正文)" w:eastAsia="等线(中文正文)"/>
          <w:b w:val="false"/>
          <w:i w:val="false"/>
          <w:sz w:val="20"/>
        </w:rPr>
        <w:t>发言人1：2025年，公司经营稳健发展，多元化业务驱动营收增长，实现营收32.6亿元，同比增长27%，全年业绩呈现稳健增长趋势。各季度营业收入分别为6.2亿元、7.85亿元、9.1亿元和8.8亿元，增长率从13.86%到40.26%不等。</w:t>
      </w:r>
    </w:p>
    <w:p>
      <w:r>
        <w:rPr>
          <w:rFonts w:ascii="等线(中文正文)" w:hAnsi="等线(中文正文)" w:cs="等线(中文正文)" w:eastAsia="等线(中文正文)"/>
          <w:b w:val="false"/>
          <w:i w:val="false"/>
          <w:sz w:val="20"/>
        </w:rPr>
        <w:t/>
      </w:r>
    </w:p>
    <w:p>
      <w:pPr>
        <w:pStyle w:val="ab"/>
      </w:pPr>
      <w:r>
        <w:t>公司各主要领域的业务增长情况怎样？</w:t>
      </w:r>
    </w:p>
    <w:p>
      <w:r>
        <w:rPr>
          <w:rFonts w:ascii="等线(中文正文)" w:hAnsi="等线(中文正文)" w:cs="等线(中文正文)" w:eastAsia="等线(中文正文)"/>
          <w:b w:val="false"/>
          <w:i w:val="false"/>
          <w:sz w:val="20"/>
        </w:rPr>
        <w:t>发言人1：消费电子领域营收规模需进一步扩大，但营收占比下降至89.26%；汽车电子领域业务增长迅猛，增速达140.55%，占营收比例为6.31%；工业领域业务也表现出快速成长，实现129.90%的年增长幅度，占营收比例为4.24%。</w:t>
      </w:r>
    </w:p>
    <w:p>
      <w:r>
        <w:rPr>
          <w:rFonts w:ascii="等线(中文正文)" w:hAnsi="等线(中文正文)" w:cs="等线(中文正文)" w:eastAsia="等线(中文正文)"/>
          <w:b w:val="false"/>
          <w:i w:val="false"/>
          <w:sz w:val="20"/>
        </w:rPr>
        <w:t/>
      </w:r>
    </w:p>
    <w:p>
      <w:pPr>
        <w:pStyle w:val="ab"/>
      </w:pPr>
      <w:r>
        <w:t>公司的资产和盈利状况如何？公司营收结构有何变化？</w:t>
      </w:r>
    </w:p>
    <w:p>
      <w:r>
        <w:rPr>
          <w:rFonts w:ascii="等线(中文正文)" w:hAnsi="等线(中文正文)" w:cs="等线(中文正文)" w:eastAsia="等线(中文正文)"/>
          <w:b w:val="false"/>
          <w:i w:val="false"/>
          <w:sz w:val="20"/>
        </w:rPr>
        <w:t>发言人1：2025年末，公司总资产达到52.35亿元，较上期期末增长12.87%；归属于上市公司股东的净资产为41.76亿元，较上年度末增长6.32%。2025年公司营业毛利率为37.74%，虽有小幅下调，主要受产品结构变化和市场竞争策略影响。随着产品线丰富，公司业务按消费电子、汽车、电子工业及智能算力四大应用领域划分，非消费电子领域的营收占比从不超过5%提升至2025年的10%。预计2026年汽车工业及智能算力领域的占比将快速提升，希望达到公司业务规模的一半。</w:t>
      </w:r>
    </w:p>
    <w:p>
      <w:r>
        <w:rPr>
          <w:rFonts w:ascii="等线(中文正文)" w:hAnsi="等线(中文正文)" w:cs="等线(中文正文)" w:eastAsia="等线(中文正文)"/>
          <w:b w:val="false"/>
          <w:i w:val="false"/>
          <w:sz w:val="20"/>
        </w:rPr>
        <w:t/>
      </w:r>
    </w:p>
    <w:p>
      <w:pPr>
        <w:pStyle w:val="ab"/>
      </w:pPr>
      <w:r>
        <w:t>公司各领域业务的具体表现是怎样的？</w:t>
      </w:r>
    </w:p>
    <w:p>
      <w:r>
        <w:rPr>
          <w:rFonts w:ascii="等线(中文正文)" w:hAnsi="等线(中文正文)" w:cs="等线(中文正文)" w:eastAsia="等线(中文正文)"/>
          <w:b w:val="false"/>
          <w:i w:val="false"/>
          <w:sz w:val="20"/>
        </w:rPr>
        <w:t>发言人1：消费电子业务收入229.1亿元，同比增长20.4%，综合毛利率为37.39%；汽车电子业务收入2.06亿元，同比增长140.55%，综合毛利率为40.66%；工业领域业务收入1.38亿元，同比增长129.90%，综合毛利率为40.23%；智能算力业务收入325.65万元，综合毛利率为42.91%。</w:t>
      </w:r>
    </w:p>
    <w:p>
      <w:r>
        <w:rPr>
          <w:rFonts w:ascii="等线(中文正文)" w:hAnsi="等线(中文正文)" w:cs="等线(中文正文)" w:eastAsia="等线(中文正文)"/>
          <w:b w:val="false"/>
          <w:i w:val="false"/>
          <w:sz w:val="20"/>
        </w:rPr>
        <w:t/>
      </w:r>
    </w:p>
    <w:p>
      <w:pPr>
        <w:pStyle w:val="ab"/>
      </w:pPr>
      <w:r>
        <w:t>公司如何应对行业产能紧张及存储涨价问题？</w:t>
      </w:r>
    </w:p>
    <w:p>
      <w:r>
        <w:rPr>
          <w:rFonts w:ascii="等线(中文正文)" w:hAnsi="等线(中文正文)" w:cs="等线(中文正文)" w:eastAsia="等线(中文正文)"/>
          <w:b w:val="false"/>
          <w:i w:val="false"/>
          <w:sz w:val="20"/>
        </w:rPr>
        <w:t>发言人1：面对AI产能紧张和存储涨价等多重因素影响，公司提前识别风险并采取应对措施，临近2025年期末积极备货以优化成本，加上业绩增长和订单备货需求，存货账面价值较去年期末增长67%。尽管存储涨价影响消费电子行业需求，但由于与全球安卓系全品牌客户保持良好合作，市场份额提升及新产品放量，公司在业绩端受影响较小。同时，汽车电子和工业领域国产化需求呈现良好增长态势，预计2026年这两个领域的产品利率会有不错增长。</w:t>
      </w:r>
    </w:p>
    <w:p>
      <w:r>
        <w:rPr>
          <w:rFonts w:ascii="等线(中文正文)" w:hAnsi="等线(中文正文)" w:cs="等线(中文正文)" w:eastAsia="等线(中文正文)"/>
          <w:b w:val="false"/>
          <w:i w:val="false"/>
          <w:sz w:val="20"/>
        </w:rPr>
        <w:t/>
      </w:r>
    </w:p>
    <w:p>
      <w:pPr>
        <w:pStyle w:val="ab"/>
      </w:pPr>
      <w:r>
        <w:t>浙江驱动公司在海外市场取得了哪些关键突破？</w:t>
      </w:r>
    </w:p>
    <w:p>
      <w:r>
        <w:rPr>
          <w:rFonts w:ascii="等线(中文正文)" w:hAnsi="等线(中文正文)" w:cs="等线(中文正文)" w:eastAsia="等线(中文正文)"/>
          <w:b w:val="false"/>
          <w:i w:val="false"/>
          <w:sz w:val="20"/>
        </w:rPr>
        <w:t>发言人1：浙江驱动公司在2025年下半年实现了韩国三星的业务关键突破，多款电源芯片产品量产出货，收入规模达到数千万元人民币。预计今年将进一步导入更多产品进入更多赛道，收入规模有望实现数倍增长。此外，公司已在美国、欧洲设立运营和销售据点，并聚焦汽车、高端消费等海外业务机会。2026年公司将加速海外客户的产品导入，提升市场份额，完善海外业务能力和管理体系，拓展欧美亚太地区的销售和服务体系。</w:t>
      </w:r>
    </w:p>
    <w:p>
      <w:r>
        <w:rPr>
          <w:rFonts w:ascii="等线(中文正文)" w:hAnsi="等线(中文正文)" w:cs="等线(中文正文)" w:eastAsia="等线(中文正文)"/>
          <w:b w:val="false"/>
          <w:i w:val="false"/>
          <w:sz w:val="20"/>
        </w:rPr>
        <w:t/>
      </w:r>
    </w:p>
    <w:p>
      <w:pPr>
        <w:pStyle w:val="ab"/>
      </w:pPr>
      <w:r>
        <w:t>公司在研发投入和产品发布方面有何进展？</w:t>
      </w:r>
    </w:p>
    <w:p>
      <w:r>
        <w:rPr>
          <w:rFonts w:ascii="等线(中文正文)" w:hAnsi="等线(中文正文)" w:cs="等线(中文正文)" w:eastAsia="等线(中文正文)"/>
          <w:b w:val="false"/>
          <w:i w:val="false"/>
          <w:sz w:val="20"/>
        </w:rPr>
        <w:t>发言人1：自2024年下半年起，公司加大研发投入并进入高产出阶段，预计未来几年将有更强产出转化。2025年至今，公司已发布多款重磅产品，如车规级高速线协议收发器、全链条全国产的高频开关产品等，均通过ACQ100和ISO26262双认证，助力智能驾驶预控制器和智能座舱的国产化创新升级。</w:t>
      </w:r>
    </w:p>
    <w:p>
      <w:r>
        <w:rPr>
          <w:rFonts w:ascii="等线(中文正文)" w:hAnsi="等线(中文正文)" w:cs="等线(中文正文)" w:eastAsia="等线(中文正文)"/>
          <w:b w:val="false"/>
          <w:i w:val="false"/>
          <w:sz w:val="20"/>
        </w:rPr>
        <w:t/>
      </w:r>
    </w:p>
    <w:p>
      <w:pPr>
        <w:pStyle w:val="ab"/>
      </w:pPr>
      <w:r>
        <w:t>公司在工业智能算力领域有哪些解决方案？</w:t>
      </w:r>
    </w:p>
    <w:p>
      <w:r>
        <w:rPr>
          <w:rFonts w:ascii="等线(中文正文)" w:hAnsi="等线(中文正文)" w:cs="等线(中文正文)" w:eastAsia="等线(中文正文)"/>
          <w:b w:val="false"/>
          <w:i w:val="false"/>
          <w:sz w:val="20"/>
        </w:rPr>
        <w:t>发言人1：公司推出了80至120伏高耐压升降压系列、超低静态电流工业级电源板桥、大功率AOCSR控制器以及24伏超高性能同步降压等电源解决方案产品，有力支撑了AI算力、储能机器人、电动工具、通信基站等领域高增长。同时，在AI装置领域，公司推出了190伏压电驱动芯片，具备十倍节电效能，并提供国内首颗均衡限流IC、OIS防抖驱动芯片和磁电流传感器芯片，满足全场景高效能电源需求。</w:t>
      </w:r>
    </w:p>
    <w:p>
      <w:r>
        <w:rPr>
          <w:rFonts w:ascii="等线(中文正文)" w:hAnsi="等线(中文正文)" w:cs="等线(中文正文)" w:eastAsia="等线(中文正文)"/>
          <w:b w:val="false"/>
          <w:i w:val="false"/>
          <w:sz w:val="20"/>
        </w:rPr>
        <w:t/>
      </w:r>
    </w:p>
    <w:p>
      <w:pPr>
        <w:pStyle w:val="ab"/>
      </w:pPr>
      <w:r>
        <w:t>公司的发展历程和未来目标是什么？</w:t>
      </w:r>
    </w:p>
    <w:p>
      <w:r>
        <w:rPr>
          <w:rFonts w:ascii="等线(中文正文)" w:hAnsi="等线(中文正文)" w:cs="等线(中文正文)" w:eastAsia="等线(中文正文)"/>
          <w:b w:val="false"/>
          <w:i w:val="false"/>
          <w:sz w:val="20"/>
        </w:rPr>
        <w:t>发言人1：自2016年启动运营以来，公司致力于成为全球一流的模拟级嵌入式芯片平台型企业，产品大类已拓展到电源MCU、传感传输信号链等多个领域。当前，在高端消费电子领域已实现平台化突破，同时正紧抓国产化及中国产品出海浪潮，延展智能汽车电子平台化能力。未来，公司将坚持平台化发展战略，预计在不远的将来迎来成长第三局，特别是在电源芯片国产化率低、国产算力芯片潜力巨大的背景下，公司将持续聚焦汽车、电子、智能算力和工业领域，加大研发投入，提升新产品商业化、标准化及市场份额，实现更高、更远的增长和更可持续的发展。</w:t>
      </w:r>
    </w:p>
    <w:p>
      <w:r>
        <w:rPr>
          <w:rFonts w:ascii="等线(中文正文)" w:hAnsi="等线(中文正文)" w:cs="等线(中文正文)" w:eastAsia="等线(中文正文)"/>
          <w:b w:val="false"/>
          <w:i w:val="false"/>
          <w:sz w:val="20"/>
        </w:rPr>
        <w:t/>
      </w:r>
    </w:p>
    <w:p>
      <w:pPr>
        <w:pStyle w:val="ab"/>
      </w:pPr>
      <w:r>
        <w:t>公司在汽车电子领域的布局情况如何？</w:t>
      </w:r>
    </w:p>
    <w:p>
      <w:r>
        <w:rPr>
          <w:rFonts w:ascii="等线(中文正文)" w:hAnsi="等线(中文正文)" w:cs="等线(中文正文)" w:eastAsia="等线(中文正文)"/>
          <w:b w:val="false"/>
          <w:i w:val="false"/>
          <w:sz w:val="20"/>
        </w:rPr>
        <w:t>发言人1：公司将持续围绕智能驾驶、车身控制、智能座舱三大核心应用领域，提供全国产一站式的汽车电子解决方案。在智能驾驶方面，公司是国内首批能提供从决策端到感知端电源解决方案的企业之一，现有产品覆盖预控制器、传感器、全链路供电和传输产品，并已布局高速传输接口产品适配智能驾驶CPU、GPU等器件。车身控制领域，公司具备完整的高边开关产品线，可以高效驱动各类负载，并集成了多种诊断和保护功能。智能座舱领域，公司丰富了多种封装及输出电流的电源产品，支持车载充电和影音娱乐等多种应用。近期还推出了支持48伏汽车系统的通用DC/DC转换器，为国产智能汽车的48伏电气架构演变提供技术动力。随着产品矩阵丰富、市场份额拓展以及海外市场的开拓，汽车电子领域将成为公司新的业绩增长点。</w:t>
      </w:r>
    </w:p>
    <w:p>
      <w:r>
        <w:rPr>
          <w:rFonts w:ascii="等线(中文正文)" w:hAnsi="等线(中文正文)" w:cs="等线(中文正文)" w:eastAsia="等线(中文正文)"/>
          <w:b w:val="false"/>
          <w:i w:val="false"/>
          <w:sz w:val="20"/>
        </w:rPr>
        <w:t/>
      </w:r>
    </w:p>
    <w:p>
      <w:pPr>
        <w:pStyle w:val="ab"/>
      </w:pPr>
      <w:r>
        <w:t>汽车电子业务的发展情况如何？</w:t>
      </w:r>
    </w:p>
    <w:p>
      <w:r>
        <w:rPr>
          <w:rFonts w:ascii="等线(中文正文)" w:hAnsi="等线(中文正文)" w:cs="等线(中文正文)" w:eastAsia="等线(中文正文)"/>
          <w:b w:val="false"/>
          <w:i w:val="false"/>
          <w:sz w:val="20"/>
        </w:rPr>
        <w:t>发言人1：自2021年启动汽车电子业务以来，公司已从0到1的突破期迈向高持续性快速成长期。2022年汽车电子收入为1700万元，而2025年已超过2亿元，年收入增长显著。2026年开年以来，随着汽车电子国产替代需求的迫切性增强，尤其是高频开关领域的采购需求，公司市场产品份额有望进一步提升。预计2026年汽车业务将取得较高的增长率。</w:t>
      </w:r>
    </w:p>
    <w:p>
      <w:r>
        <w:rPr>
          <w:rFonts w:ascii="等线(中文正文)" w:hAnsi="等线(中文正文)" w:cs="等线(中文正文)" w:eastAsia="等线(中文正文)"/>
          <w:b w:val="false"/>
          <w:i w:val="false"/>
          <w:sz w:val="20"/>
        </w:rPr>
        <w:t/>
      </w:r>
    </w:p>
    <w:p>
      <w:pPr>
        <w:pStyle w:val="ab"/>
      </w:pPr>
      <w:r>
        <w:t>公司目前在工业产品布局上有哪些重点应用场景？对于未来在工业市场的投入计划是什么？</w:t>
      </w:r>
    </w:p>
    <w:p>
      <w:r>
        <w:rPr>
          <w:rFonts w:ascii="等线(中文正文)" w:hAnsi="等线(中文正文)" w:cs="等线(中文正文)" w:eastAsia="等线(中文正文)"/>
          <w:b w:val="false"/>
          <w:i w:val="false"/>
          <w:sz w:val="20"/>
        </w:rPr>
        <w:t>发言人1：公司目前重点围绕通信基站、光伏储能、工业机器人、公共自动化设备等应用场景，提供高压大电流的电源产品、驱动芯片和传感芯片等产品，并已推出高压DCDC860 p mic、DMS电流传感器等系列推向市场。2026年公司将加大对工业市场的资源投入倾斜，加快现有布局产品的产出步伐，预计未来两年内将有更多品类及工业量级产品推向市场，并计划开拓重点市场应用终端，拓展各应用领域客户，加速市场份额提升。</w:t>
      </w:r>
    </w:p>
    <w:p>
      <w:r>
        <w:rPr>
          <w:rFonts w:ascii="等线(中文正文)" w:hAnsi="等线(中文正文)" w:cs="等线(中文正文)" w:eastAsia="等线(中文正文)"/>
          <w:b w:val="false"/>
          <w:i w:val="false"/>
          <w:sz w:val="20"/>
        </w:rPr>
        <w:t/>
      </w:r>
    </w:p>
    <w:p>
      <w:pPr>
        <w:pStyle w:val="ab"/>
      </w:pPr>
      <w:r>
        <w:t>公司在AI领域的产品布局和发展战略是怎样的？</w:t>
      </w:r>
    </w:p>
    <w:p>
      <w:r>
        <w:rPr>
          <w:rFonts w:ascii="等线(中文正文)" w:hAnsi="等线(中文正文)" w:cs="等线(中文正文)" w:eastAsia="等线(中文正文)"/>
          <w:b w:val="false"/>
          <w:i w:val="false"/>
          <w:sz w:val="20"/>
        </w:rPr>
        <w:t>发言人1：公司正全力以赴推进AI大战略，致力于成为国内AI电源芯片领域的核心参与者。公司将构建覆盖云网边端多维度的产品线，包括数据中心、网络设备、边缘计算终端等应用场景。在AI尖端领域，已推出多项同步降压转换器、液冷温控驱动芯片、AI眼镜均衡限流IC等产品，并与多家知名PC厂商合作，预计年内实现商业化落地。</w:t>
      </w:r>
    </w:p>
    <w:p>
      <w:r>
        <w:rPr>
          <w:rFonts w:ascii="等线(中文正文)" w:hAnsi="等线(中文正文)" w:cs="等线(中文正文)" w:eastAsia="等线(中文正文)"/>
          <w:b w:val="false"/>
          <w:i w:val="false"/>
          <w:sz w:val="20"/>
        </w:rPr>
        <w:t/>
      </w:r>
    </w:p>
    <w:p>
      <w:pPr>
        <w:pStyle w:val="ab"/>
      </w:pPr>
      <w:r>
        <w:t>公司在智能驾驶和机器人领域的布局情况如何？</w:t>
      </w:r>
    </w:p>
    <w:p>
      <w:r>
        <w:rPr>
          <w:rFonts w:ascii="等线(中文正文)" w:hAnsi="等线(中文正文)" w:cs="等线(中文正文)" w:eastAsia="等线(中文正文)"/>
          <w:b w:val="false"/>
          <w:i w:val="false"/>
          <w:sz w:val="20"/>
        </w:rPr>
        <w:t>发言人1：智能驾驶和机器人是公司AI尖端产品战略投入的重要阵地。公司多项智能驾驶控制器、低压帽高速传输产品、电流光感等传感产品将在今年第二季度及下半年陆续推向市场，并将持续布局车载控制芯片、工业数字电源、磁传感、惯性传感等产品。</w:t>
      </w:r>
    </w:p>
    <w:p>
      <w:r>
        <w:rPr>
          <w:rFonts w:ascii="等线(中文正文)" w:hAnsi="等线(中文正文)" w:cs="等线(中文正文)" w:eastAsia="等线(中文正文)"/>
          <w:b w:val="false"/>
          <w:i w:val="false"/>
          <w:sz w:val="20"/>
        </w:rPr>
        <w:t/>
      </w:r>
    </w:p>
    <w:p>
      <w:pPr>
        <w:pStyle w:val="ab"/>
      </w:pPr>
      <w:r>
        <w:t>公司在AI服务器领域的具体布局是什么？</w:t>
      </w:r>
    </w:p>
    <w:p>
      <w:r>
        <w:rPr>
          <w:rFonts w:ascii="等线(中文正文)" w:hAnsi="等线(中文正文)" w:cs="等线(中文正文)" w:eastAsia="等线(中文正文)"/>
          <w:b w:val="false"/>
          <w:i w:val="false"/>
          <w:sz w:val="20"/>
        </w:rPr>
        <w:t>发言人1：公司在AI服务器领域重点布局，开发应用于高性能计算电源领域的8至16项中央控制器、40、60安及以上电流的低压帽、大电流DCDC及PCE等产品，预计今年下半年开始向市场推出。同时，在二次电源领域已布局驱动控制器等产品，也将在今年年中及之后推向市场。</w:t>
      </w:r>
    </w:p>
    <w:p>
      <w:r>
        <w:rPr>
          <w:rFonts w:ascii="等线(中文正文)" w:hAnsi="等线(中文正文)" w:cs="等线(中文正文)" w:eastAsia="等线(中文正文)"/>
          <w:b w:val="false"/>
          <w:i w:val="false"/>
          <w:sz w:val="20"/>
        </w:rPr>
        <w:t/>
      </w:r>
    </w:p>
    <w:p>
      <w:pPr>
        <w:pStyle w:val="ab"/>
      </w:pPr>
      <w:r>
        <w:t>关于国内电源芯片在AI服务器领域的渗透率和参与度问题？</w:t>
      </w:r>
    </w:p>
    <w:p>
      <w:r>
        <w:rPr>
          <w:rFonts w:ascii="等线(中文正文)" w:hAnsi="等线(中文正文)" w:cs="等线(中文正文)" w:eastAsia="等线(中文正文)"/>
          <w:b w:val="false"/>
          <w:i w:val="false"/>
          <w:sz w:val="20"/>
        </w:rPr>
        <w:t>发言人1：当前国内电源芯片在AI服务器领域的渗透率和参与度还不高，但随着国产算力崛起，上述能力将成为关键。公司凭借过去的技术积累和客户信任度，在AI时代有望取得更好成绩。</w:t>
      </w:r>
    </w:p>
    <w:p>
      <w:r>
        <w:rPr>
          <w:rFonts w:ascii="等线(中文正文)" w:hAnsi="等线(中文正文)" w:cs="等线(中文正文)" w:eastAsia="等线(中文正文)"/>
          <w:b w:val="false"/>
          <w:i w:val="false"/>
          <w:sz w:val="20"/>
        </w:rPr>
        <w:t/>
      </w:r>
    </w:p>
    <w:p>
      <w:pPr>
        <w:pStyle w:val="ab"/>
      </w:pPr>
      <w:r>
        <w:t>关于公司产品分类标准的具体划分，例如PC相关产品归类于消费电子还是智能应用？</w:t>
      </w:r>
    </w:p>
    <w:p>
      <w:r>
        <w:rPr>
          <w:rFonts w:ascii="等线(中文正文)" w:hAnsi="等线(中文正文)" w:cs="等线(中文正文)" w:eastAsia="等线(中文正文)"/>
          <w:b w:val="false"/>
          <w:i w:val="false"/>
          <w:sz w:val="20"/>
        </w:rPr>
        <w:t>发言人1：根据2025年报，公司按照应用领域重新分类收入结构。PC相关的消费电子类产品被归类在消费电子领域；而与智能算力相关的终端控制器产品会放在智能算力领域；AR/VR或AI眼镜等具有AI功能的产品，则依据其特性分别归类在智能算力或消费电子领域。</w:t>
      </w:r>
    </w:p>
    <w:p>
      <w:r>
        <w:rPr>
          <w:rFonts w:ascii="等线(中文正文)" w:hAnsi="等线(中文正文)" w:cs="等线(中文正文)" w:eastAsia="等线(中文正文)"/>
          <w:b w:val="false"/>
          <w:i w:val="false"/>
          <w:sz w:val="20"/>
        </w:rPr>
        <w:t/>
      </w:r>
    </w:p>
    <w:p>
      <w:pPr>
        <w:pStyle w:val="ab"/>
      </w:pPr>
      <w:r>
        <w:t>在年初设定的全年营收业绩目标是40亿收入，目前来看是否还维持这个目标？</w:t>
      </w:r>
    </w:p>
    <w:p>
      <w:r>
        <w:rPr>
          <w:rFonts w:ascii="等线(中文正文)" w:hAnsi="等线(中文正文)" w:cs="等线(中文正文)" w:eastAsia="等线(中文正文)"/>
          <w:b w:val="false"/>
          <w:i w:val="false"/>
          <w:sz w:val="20"/>
        </w:rPr>
        <w:t>发言人1：是的，目前我们依然维持着年初设定的40亿收入的业绩目标。从年初到现在的一个季度多一点的时间内，汽车和工业领域的营收占比表现比预期要好很多，原本预计会达到15%到20%，现在看来年底实现这一目标是非常可靠的，甚至可能超过这个水平。</w:t>
      </w:r>
    </w:p>
    <w:p>
      <w:r>
        <w:rPr>
          <w:rFonts w:ascii="等线(中文正文)" w:hAnsi="等线(中文正文)" w:cs="等线(中文正文)" w:eastAsia="等线(中文正文)"/>
          <w:b w:val="false"/>
          <w:i w:val="false"/>
          <w:sz w:val="20"/>
        </w:rPr>
        <w:t/>
      </w:r>
    </w:p>
    <w:p>
      <w:pPr>
        <w:pStyle w:val="ab"/>
      </w:pPr>
      <w:r>
        <w:t>消费电子作为公司的基本盘，后续需求会有什么样的季节效应？客户方面有没有感受到压力或变化？</w:t>
      </w:r>
    </w:p>
    <w:p>
      <w:r>
        <w:rPr>
          <w:rFonts w:ascii="等线(中文正文)" w:hAnsi="等线(中文正文)" w:cs="等线(中文正文)" w:eastAsia="等线(中文正文)"/>
          <w:b w:val="false"/>
          <w:i w:val="false"/>
          <w:sz w:val="20"/>
        </w:rPr>
        <w:t>发言人1：2026年消费电子行业由于持续涨价，确实面临一定的压力，尤其是从去年年底到今年一季度影响最为明显。当时，许多终端客户因市场变化准备不足，下单和出货节奏放缓。但目前，客户端的下单和出货节奏已恢复正常，只是低端机型客户受影响较大，而专注于中高端手机的客户则受影响较小。整体而言，消费电子行业的后续发展目前保持在一个正常的节奏上，公司在第一季度的营收同比实现了两位数的增长。</w:t>
      </w:r>
    </w:p>
    <w:p>
      <w:r>
        <w:rPr>
          <w:rFonts w:ascii="等线(中文正文)" w:hAnsi="等线(中文正文)" w:cs="等线(中文正文)" w:eastAsia="等线(中文正文)"/>
          <w:b w:val="false"/>
          <w:i w:val="false"/>
          <w:sz w:val="20"/>
        </w:rPr>
        <w:t/>
      </w:r>
    </w:p>
    <w:p>
      <w:pPr>
        <w:pStyle w:val="ab"/>
      </w:pPr>
      <w:r>
        <w:t>您提到的“更好的增长”是指后续的同比增速会比一季度更好吗？全年增长幅度现在是否能预估清楚？</w:t>
      </w:r>
    </w:p>
    <w:p>
      <w:r>
        <w:rPr>
          <w:rFonts w:ascii="等线(中文正文)" w:hAnsi="等线(中文正文)" w:cs="等线(中文正文)" w:eastAsia="等线(中文正文)"/>
          <w:b w:val="false"/>
          <w:i w:val="false"/>
          <w:sz w:val="20"/>
        </w:rPr>
        <w:t>发言人1：对，我的意思是后续的同比增速可能会比一季度的增速更好一些。尽管全年具体的增长幅度还难以确定，但从目前的趋势来看，预计下半年仍会保持旺季态势，全年将延续向上的趋势。</w:t>
      </w:r>
    </w:p>
    <w:p>
      <w:r>
        <w:rPr>
          <w:rFonts w:ascii="等线(中文正文)" w:hAnsi="等线(中文正文)" w:cs="等线(中文正文)" w:eastAsia="等线(中文正文)"/>
          <w:b w:val="false"/>
          <w:i w:val="false"/>
          <w:sz w:val="20"/>
        </w:rPr>
        <w:t/>
      </w:r>
    </w:p>
    <w:p>
      <w:pPr>
        <w:pStyle w:val="ab"/>
      </w:pPr>
      <w:r>
        <w:t>对于三星这个特殊客户，其对我们的供货或收入是否比年初预期更好？</w:t>
      </w:r>
    </w:p>
    <w:p>
      <w:r>
        <w:rPr>
          <w:rFonts w:ascii="等线(中文正文)" w:hAnsi="等线(中文正文)" w:cs="等线(中文正文)" w:eastAsia="等线(中文正文)"/>
          <w:b w:val="false"/>
          <w:i w:val="false"/>
          <w:sz w:val="20"/>
        </w:rPr>
        <w:t>发言人1：三星今年的表现确实比国内的一些客户要好一些。从订单情况和现有产品出货份额来看，相较于去年年末的预期，三星在2026年第一季度的销量有所增长，导入新产品的节奏也更快。因此，预计公司在三星的营收增长上会比预期更加可观。</w:t>
      </w:r>
    </w:p>
    <w:p>
      <w:r>
        <w:rPr>
          <w:rFonts w:ascii="等线(中文正文)" w:hAnsi="等线(中文正文)" w:cs="等线(中文正文)" w:eastAsia="等线(中文正文)"/>
          <w:b w:val="false"/>
          <w:i w:val="false"/>
          <w:sz w:val="20"/>
        </w:rPr>
        <w:t/>
      </w:r>
    </w:p>
    <w:p>
      <w:pPr>
        <w:pStyle w:val="ab"/>
      </w:pPr>
      <w:r>
        <w:t>关于毛利率的情况，一季度环比下降了2个基点，这是否已经将供应链涨价的影响全部覆盖？全年来看，毛利率的趋势如何？对于供应链涨价的问题，公司如何应对并减轻其对公司毛利率的影响？</w:t>
      </w:r>
    </w:p>
    <w:p>
      <w:r>
        <w:rPr>
          <w:rFonts w:ascii="等线(中文正文)" w:hAnsi="等线(中文正文)" w:cs="等线(中文正文)" w:eastAsia="等线(中文正文)"/>
          <w:b w:val="false"/>
          <w:i w:val="false"/>
          <w:sz w:val="20"/>
        </w:rPr>
        <w:t>发言人1：毛利率在2025年度相较于2024年度大约下调了两个多点，这个变动幅度在公司过去的历史数据中属于较大范围。下降的主要原因包括产品结构变化以及市场竞争环境导致的部分公司选择让价以扩大市场份额。不过，从去年二季度开始，公司的毛利率逐季度回升，到今年第一季度已基本企稳。公司提前识别了供应链产能紧张并采取了多种应对措施，如提前备货以获取更多低成本产品，并与行业内头部供应商建立了良好的合作关系，确保产能保障和价格优势。此外，公司还优化产品迭代开发，综合这些措施，使得公司在成本端对涨价的压力相对较小，对毛利的影响也较为可控。</w:t>
      </w:r>
    </w:p>
    <w:p>
      <w:r>
        <w:rPr>
          <w:rFonts w:ascii="等线(中文正文)" w:hAnsi="等线(中文正文)" w:cs="等线(中文正文)" w:eastAsia="等线(中文正文)"/>
          <w:b w:val="false"/>
          <w:i w:val="false"/>
          <w:sz w:val="20"/>
        </w:rPr>
        <w:t/>
      </w:r>
    </w:p>
    <w:p>
      <w:pPr>
        <w:pStyle w:val="ab"/>
      </w:pPr>
      <w:r>
        <w:t>一季度的毛利率是否可以理解为今年的一个相对稳态或低点？</w:t>
      </w:r>
    </w:p>
    <w:p>
      <w:r>
        <w:rPr>
          <w:rFonts w:ascii="等线(中文正文)" w:hAnsi="等线(中文正文)" w:cs="等线(中文正文)" w:eastAsia="等线(中文正文)"/>
          <w:b w:val="false"/>
          <w:i w:val="false"/>
          <w:sz w:val="20"/>
        </w:rPr>
        <w:t>发言人1：一季度毛利率不能简单地理解为全年的一个相对稳态或低点。上游供应链涨价在一季度开始生效，但其影响会在二季度的收入结构中体现出来。因此，不能仅凭一季度的数据来判断全年的毛利率走势。</w:t>
      </w:r>
    </w:p>
    <w:p>
      <w:r>
        <w:rPr>
          <w:rFonts w:ascii="等线(中文正文)" w:hAnsi="等线(中文正文)" w:cs="等线(中文正文)" w:eastAsia="等线(中文正文)"/>
          <w:b w:val="false"/>
          <w:i w:val="false"/>
          <w:sz w:val="20"/>
        </w:rPr>
        <w:t/>
      </w:r>
    </w:p>
    <w:p>
      <w:pPr>
        <w:pStyle w:val="ab"/>
      </w:pPr>
      <w:r>
        <w:t>如果汽车业务持续放量，汽车毛利率能否保持稳定？</w:t>
      </w:r>
    </w:p>
    <w:p>
      <w:r>
        <w:rPr>
          <w:rFonts w:ascii="等线(中文正文)" w:hAnsi="等线(中文正文)" w:cs="等线(中文正文)" w:eastAsia="等线(中文正文)"/>
          <w:b w:val="false"/>
          <w:i w:val="false"/>
          <w:sz w:val="20"/>
        </w:rPr>
        <w:t>发言人1：如果汽车业务持续增长，汽车毛利率水平大概能够保持稳定。去年汽车领域毛利率下降主要是市场竞争环境激烈及公司为了拓展市场份额采取的策略所致。今年公司依然重视汽车业务的市场份额扩张，但会更加关注毛利率这一重要经营指标，从长期发展角度看，汽车领域的毛利率预计会相对平稳，维持在140左右的毛利率线是公司经营端的一个重要门槛要求。</w:t>
      </w:r>
    </w:p>
    <w:p>
      <w:r>
        <w:rPr>
          <w:rFonts w:ascii="等线(中文正文)" w:hAnsi="等线(中文正文)" w:cs="等线(中文正文)" w:eastAsia="等线(中文正文)"/>
          <w:b w:val="false"/>
          <w:i w:val="false"/>
          <w:sz w:val="20"/>
        </w:rPr>
        <w:t/>
      </w:r>
    </w:p>
    <w:p>
      <w:pPr>
        <w:pStyle w:val="ab"/>
      </w:pPr>
      <w:r>
        <w:t>关于数据中心的新产品进展，预计何时可以推出多项控制器及大电流DR mos？是否有大客户在合作？</w:t>
      </w:r>
    </w:p>
    <w:p>
      <w:r>
        <w:rPr>
          <w:rFonts w:ascii="等线(中文正文)" w:hAnsi="等线(中文正文)" w:cs="等线(中文正文)" w:eastAsia="等线(中文正文)"/>
          <w:b w:val="false"/>
          <w:i w:val="false"/>
          <w:sz w:val="20"/>
        </w:rPr>
        <w:t>发言人1：在数据中心领域，多端控制器产品已在去年九月份推向市场，目前国内外大型PC厂家正在寻求合作，商业化落地即将完成并有望在营收上产生贡献。同时，车载控制器和低压MOS产品进展顺利，预计很快会推向市场。关于服务器端应用，新产品预计将在三季度末或四季度初推出。公司在产品研发过程中始终与潜在客户保持紧密沟通，以提高未来商业化应用和变现的效率。对于具体的客户名单，出于保密原因不便披露，但可以保证会优先考虑国内知名大厂的需求。</w:t>
      </w:r>
    </w:p>
    <w:p>
      <w:r>
        <w:rPr>
          <w:rFonts w:ascii="等线(中文正文)" w:hAnsi="等线(中文正文)" w:cs="等线(中文正文)" w:eastAsia="等线(中文正文)"/>
          <w:b w:val="false"/>
          <w:i w:val="false"/>
          <w:sz w:val="20"/>
        </w:rPr>
        <w:t/>
      </w:r>
    </w:p>
    <w:p>
      <w:pPr>
        <w:pStyle w:val="ab"/>
      </w:pPr>
      <w:r>
        <w:t>未来市场机会和竞争格局是怎样的？</w:t>
      </w:r>
    </w:p>
    <w:p>
      <w:r>
        <w:rPr>
          <w:rFonts w:ascii="等线(中文正文)" w:hAnsi="等线(中文正文)" w:cs="等线(中文正文)" w:eastAsia="等线(中文正文)"/>
          <w:b w:val="false"/>
          <w:i w:val="false"/>
          <w:sz w:val="20"/>
        </w:rPr>
        <w:t>发言人1：我们认为未来市场机会很大，竞争格局尚未完全成型，这为我们提供了很好的机会。产品要能跑出行业头部，必须在性能上有优势，并且满足大客户的需求。在这一领域，我们过去三年做了大量投入，尤其在功率方面有很强的技术积累，相信在新一代产品中将展现巨大竞争力。</w:t>
      </w:r>
    </w:p>
    <w:p>
      <w:r>
        <w:rPr>
          <w:rFonts w:ascii="等线(中文正文)" w:hAnsi="等线(中文正文)" w:cs="等线(中文正文)" w:eastAsia="等线(中文正文)"/>
          <w:b w:val="false"/>
          <w:i w:val="false"/>
          <w:sz w:val="20"/>
        </w:rPr>
        <w:t/>
      </w:r>
    </w:p>
    <w:p>
      <w:pPr>
        <w:pStyle w:val="ab"/>
      </w:pPr>
      <w:r>
        <w:t>验证测试周期如何？</w:t>
      </w:r>
    </w:p>
    <w:p>
      <w:r>
        <w:rPr>
          <w:rFonts w:ascii="等线(中文正文)" w:hAnsi="等线(中文正文)" w:cs="等线(中文正文)" w:eastAsia="等线(中文正文)"/>
          <w:b w:val="false"/>
          <w:i w:val="false"/>
          <w:sz w:val="20"/>
        </w:rPr>
        <w:t>发言人1：验证测试周期主要取决于大客户的导入项目节奏，通常会有规律性的导入时间。产品自身也要足够强大，不断改进以减少“feel”机会，避免频繁改版。</w:t>
      </w:r>
    </w:p>
    <w:p>
      <w:r>
        <w:rPr>
          <w:rFonts w:ascii="等线(中文正文)" w:hAnsi="等线(中文正文)" w:cs="等线(中文正文)" w:eastAsia="等线(中文正文)"/>
          <w:b w:val="false"/>
          <w:i w:val="false"/>
          <w:sz w:val="20"/>
        </w:rPr>
        <w:t/>
      </w:r>
    </w:p>
    <w:p>
      <w:pPr>
        <w:pStyle w:val="ab"/>
      </w:pPr>
      <w:r>
        <w:t>车载端产品的表现及竞争态势如何？</w:t>
      </w:r>
    </w:p>
    <w:p>
      <w:r>
        <w:rPr>
          <w:rFonts w:ascii="等线(中文正文)" w:hAnsi="等线(中文正文)" w:cs="等线(中文正文)" w:eastAsia="等线(中文正文)"/>
          <w:b w:val="false"/>
          <w:i w:val="false"/>
          <w:sz w:val="20"/>
        </w:rPr>
        <w:t>发言人1：车载端产品第一版效果非常好，这更依赖于产品的底层技术能力。公司在模拟领域擅长研发高价值、高性能且技术创新能力强的产品，因此在这个领域有很强的竞争信心。</w:t>
      </w:r>
    </w:p>
    <w:p>
      <w:r>
        <w:rPr>
          <w:rFonts w:ascii="等线(中文正文)" w:hAnsi="等线(中文正文)" w:cs="等线(中文正文)" w:eastAsia="等线(中文正文)"/>
          <w:b w:val="false"/>
          <w:i w:val="false"/>
          <w:sz w:val="20"/>
        </w:rPr>
        <w:t/>
      </w:r>
    </w:p>
    <w:p>
      <w:pPr>
        <w:pStyle w:val="ab"/>
      </w:pPr>
      <w:r>
        <w:t>商业化营收预计何时实现？</w:t>
      </w:r>
    </w:p>
    <w:p>
      <w:r>
        <w:rPr>
          <w:rFonts w:ascii="等线(中文正文)" w:hAnsi="等线(中文正文)" w:cs="等线(中文正文)" w:eastAsia="等线(中文正文)"/>
          <w:b w:val="false"/>
          <w:i w:val="false"/>
          <w:sz w:val="20"/>
        </w:rPr>
        <w:t>发言人1：验证转向商业化营收预计在2025年，服务器端可能在2027年才有机会展望；车载端的时间会更早，今年将进行大客户的导入验证，客户仍为国产无线。</w:t>
      </w:r>
    </w:p>
    <w:p>
      <w:r>
        <w:rPr>
          <w:rFonts w:ascii="等线(中文正文)" w:hAnsi="等线(中文正文)" w:cs="等线(中文正文)" w:eastAsia="等线(中文正文)"/>
          <w:b w:val="false"/>
          <w:i w:val="false"/>
          <w:sz w:val="20"/>
        </w:rPr>
        <w:t/>
      </w:r>
    </w:p>
    <w:p>
      <w:pPr>
        <w:pStyle w:val="ab"/>
      </w:pPr>
      <w:r>
        <w:t>预计今年车载领域收入增幅和新产品贡献情况如何？</w:t>
      </w:r>
    </w:p>
    <w:p>
      <w:r>
        <w:rPr>
          <w:rFonts w:ascii="等线(中文正文)" w:hAnsi="等线(中文正文)" w:cs="等线(中文正文)" w:eastAsia="等线(中文正文)"/>
          <w:b w:val="false"/>
          <w:i w:val="false"/>
          <w:sz w:val="20"/>
        </w:rPr>
        <w:t>发言人1：今年预计汽车电子收入增幅较大，其中新产品如高端开关、毫米波雷达、ATF相关高价值组件等将对收入产生积极影响。今年车载领域营收希望实现翻倍增长，新增产品如驱动类、高价值组件等占比将增大。</w:t>
      </w:r>
    </w:p>
    <w:p>
      <w:r>
        <w:rPr>
          <w:rFonts w:ascii="等线(中文正文)" w:hAnsi="等线(中文正文)" w:cs="等线(中文正文)" w:eastAsia="等线(中文正文)"/>
          <w:b w:val="false"/>
          <w:i w:val="false"/>
          <w:sz w:val="20"/>
        </w:rPr>
        <w:t/>
      </w:r>
    </w:p>
    <w:p>
      <w:pPr>
        <w:pStyle w:val="ab"/>
      </w:pPr>
      <w:r>
        <w:t>公司在新兴消费终端和微工业产品方面的布局情况？</w:t>
      </w:r>
    </w:p>
    <w:p>
      <w:r>
        <w:rPr>
          <w:rFonts w:ascii="等线(中文正文)" w:hAnsi="等线(中文正文)" w:cs="等线(中文正文)" w:eastAsia="等线(中文正文)"/>
          <w:b w:val="false"/>
          <w:i w:val="false"/>
          <w:sz w:val="20"/>
        </w:rPr>
        <w:t>发言人1：公司虽然在消费电子领域深耕，但对于新兴消费终端，销售团队会快速跟进有增量机会的新诉求。目前更多精力放在工业端，尤其是针对工业应用终端的新增量市场需求和新产品布局。</w:t>
      </w:r>
    </w:p>
    <w:p>
      <w:r>
        <w:rPr>
          <w:rFonts w:ascii="等线(中文正文)" w:hAnsi="等线(中文正文)" w:cs="等线(中文正文)" w:eastAsia="等线(中文正文)"/>
          <w:b w:val="false"/>
          <w:i w:val="false"/>
          <w:sz w:val="20"/>
        </w:rPr>
        <w:t/>
      </w:r>
    </w:p>
    <w:p>
      <w:pPr>
        <w:pStyle w:val="ab"/>
      </w:pPr>
      <w:r>
        <w:t>公司在工业板块的业务进展如何？</w:t>
      </w:r>
    </w:p>
    <w:p>
      <w:r>
        <w:rPr>
          <w:rFonts w:ascii="等线(中文正文)" w:hAnsi="等线(中文正文)" w:cs="等线(中文正文)" w:eastAsia="等线(中文正文)"/>
          <w:b w:val="false"/>
          <w:i w:val="false"/>
          <w:sz w:val="20"/>
        </w:rPr>
        <w:t>发言人1：目前工业产品营收包括高压ECTC、大电流产品、DMS等，今年将推出光感隔离驱动产品，主要应用于光伏储能、通讯计算等领域。未来还会扩展更多品类，如词、惯性、数字电源、公益器件等，并投入更多研发资源。</w:t>
      </w:r>
    </w:p>
    <w:p>
      <w:r>
        <w:rPr>
          <w:rFonts w:ascii="等线(中文正文)" w:hAnsi="等线(中文正文)" w:cs="等线(中文正文)" w:eastAsia="等线(中文正文)"/>
          <w:b w:val="false"/>
          <w:i w:val="false"/>
          <w:sz w:val="20"/>
        </w:rPr>
        <w:t/>
      </w:r>
    </w:p>
    <w:p>
      <w:pPr>
        <w:pStyle w:val="ab"/>
      </w:pPr>
      <w:r>
        <w:t>公司在BCD工艺上的布局和储备是什么？</w:t>
      </w:r>
    </w:p>
    <w:p>
      <w:r>
        <w:rPr>
          <w:rFonts w:ascii="等线(中文正文)" w:hAnsi="等线(中文正文)" w:cs="等线(中文正文)" w:eastAsia="等线(中文正文)"/>
          <w:b w:val="false"/>
          <w:i w:val="false"/>
          <w:sz w:val="20"/>
        </w:rPr>
        <w:t>发言人1：公司在模拟产品方面有大量技术布局，尤其擅长高性能产品的研发。尽管具体工艺细节涉及技术秘密不便披露，但公司在CCD工艺积累方面在国内模拟厂商中处于头部位置。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2026-05-05T17:41:00Z</dcterms:created>
  <dc:creator>Apache POI</dc:creator>
</cp:coreProperties>
</file>