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广发策略  4月决断后是Sell in May？ 260505_导读</w:t>
      </w:r>
    </w:p>
    <w:p>
      <w:pPr>
        <w:pStyle w:val="a0"/>
        <w:jc w:val="center"/>
      </w:pPr>
      <w:r>
        <w:t>2026年05月05日 23:04</w:t>
      </w:r>
    </w:p>
    <w:p>
      <w:pPr>
        <w:pStyle w:val="a7"/>
      </w:pPr>
      <w:r>
        <w:t>关键词</w:t>
      </w:r>
    </w:p>
    <w:p>
      <w:r>
        <w:rPr>
          <w:rFonts w:ascii="等线(中文正文)" w:hAnsi="等线(中文正文)" w:cs="等线(中文正文)" w:eastAsia="等线(中文正文)"/>
          <w:b w:val="false"/>
          <w:i w:val="false"/>
          <w:sz w:val="20"/>
        </w:rPr>
        <w:t xml:space="preserve">基本面 四月决断 景气度 结构分化 中长期贷款 上市公司 海外收入 资本开支 在建工程 消费 投资端 开工率 新能源汽车 茅台 以旧换新 广谱消费 资产负债率 利润端 宏观指标 复苏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四月份经济数据和上市公司年报季报的分析揭示了经济指标的强弱及政治局会议的导向，同时关注全球产业进展，特别是AI和新能源领域。讲话者强调四月阶段对评估未来基本面趋势和市场节奏的重要性，并探讨了“五穷六绝”等市场谚语，建议在全球化背景下，投资者应关注产业趋势和公司基本面，以“大胆假设，小心求证”的策略应对市场波动，把握投资机会。</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四月决断与五月市场策略分析</w:t>
      </w:r>
    </w:p>
    <w:p>
      <w:r>
        <w:rPr>
          <w:rFonts w:ascii="等线(中文正文)" w:hAnsi="等线(中文正文)" w:cs="等线(中文正文)" w:eastAsia="等线(中文正文)"/>
          <w:b w:val="false"/>
          <w:i w:val="false"/>
          <w:sz w:val="20"/>
        </w:rPr>
        <w:t>报告分析了四月经济数据与上市公司年报对市场的影响，指出基本面与股价在四月至十月关联度高，强调结构优于仓位的重要性。建议中性仓位配置景气度最佳产业，以应对市场波动，获取超额收益。</w:t>
      </w:r>
    </w:p>
    <w:p>
      <w:r>
        <w:rPr>
          <w:rFonts w:ascii="等线(中文正文)" w:hAnsi="等线(中文正文)" w:cs="等线(中文正文)" w:eastAsia="等线(中文正文)"/>
          <w:b w:val="false"/>
          <w:i w:val="false"/>
          <w:sz w:val="20"/>
        </w:rPr>
        <w:t/>
      </w:r>
    </w:p>
    <w:p>
      <w:pPr>
        <w:pStyle w:val="ab"/>
        <w:numPr>
          <w:numId w:val="2"/>
        </w:numPr>
      </w:pPr>
      <w:r>
        <w:t>02:55 中长期贷款与宏观需求关系分析</w:t>
      </w:r>
    </w:p>
    <w:p>
      <w:r>
        <w:rPr>
          <w:rFonts w:ascii="等线(中文正文)" w:hAnsi="等线(中文正文)" w:cs="等线(中文正文)" w:eastAsia="等线(中文正文)"/>
          <w:b w:val="false"/>
          <w:i w:val="false"/>
          <w:sz w:val="20"/>
        </w:rPr>
        <w:t>讨论了中长期贷款作为实际需求指标的重要性，及其与白酒估值、恒生科技指数等市场表现的相关性，指出AI因素对恒生科技影响，以及东亚市场利润端差异。</w:t>
      </w:r>
    </w:p>
    <w:p>
      <w:r>
        <w:rPr>
          <w:rFonts w:ascii="等线(中文正文)" w:hAnsi="等线(中文正文)" w:cs="等线(中文正文)" w:eastAsia="等线(中文正文)"/>
          <w:b w:val="false"/>
          <w:i w:val="false"/>
          <w:sz w:val="20"/>
        </w:rPr>
        <w:t/>
      </w:r>
    </w:p>
    <w:p>
      <w:pPr>
        <w:pStyle w:val="ab"/>
        <w:numPr>
          <w:numId w:val="3"/>
        </w:numPr>
      </w:pPr>
      <w:r>
        <w:t>04:42 中长期贷款与上市公司杠杆情况分析</w:t>
      </w:r>
    </w:p>
    <w:p>
      <w:r>
        <w:rPr>
          <w:rFonts w:ascii="等线(中文正文)" w:hAnsi="等线(中文正文)" w:cs="等线(中文正文)" w:eastAsia="等线(中文正文)"/>
          <w:b w:val="false"/>
          <w:i w:val="false"/>
          <w:sz w:val="20"/>
        </w:rPr>
        <w:t>对话主要讨论了中长期贷款与上市公司杠杆情况的对比，指出上市公司在盈利端增速、资产负债率及资本开支等方面表现优于全社会整体情况，归因于上市公司结构优化和海外收入占比提升。同时，提及了投资端尤其是地产基建投资的疲软状况。</w:t>
      </w:r>
    </w:p>
    <w:p>
      <w:r>
        <w:rPr>
          <w:rFonts w:ascii="等线(中文正文)" w:hAnsi="等线(中文正文)" w:cs="等线(中文正文)" w:eastAsia="等线(中文正文)"/>
          <w:b w:val="false"/>
          <w:i w:val="false"/>
          <w:sz w:val="20"/>
        </w:rPr>
        <w:t/>
      </w:r>
    </w:p>
    <w:p>
      <w:pPr>
        <w:pStyle w:val="ab"/>
        <w:numPr>
          <w:numId w:val="4"/>
        </w:numPr>
      </w:pPr>
      <w:r>
        <w:t>08:30 行业分析：能源与建筑材料市场现状</w:t>
      </w:r>
    </w:p>
    <w:p>
      <w:r>
        <w:rPr>
          <w:rFonts w:ascii="等线(中文正文)" w:hAnsi="等线(中文正文)" w:cs="等线(中文正文)" w:eastAsia="等线(中文正文)"/>
          <w:b w:val="false"/>
          <w:i w:val="false"/>
          <w:sz w:val="20"/>
        </w:rPr>
        <w:t>讨论了螺纹钢、石油沥青、混凝土、水泥、焦煤等建筑材料以及尿素、汽车相关行业的季节性表现和市场现状。指出建筑材料开工率普遍低于季节性水平，而尿素和新能源汽车行业表现较好。此外，茅台价格波动情况也被提及，反映了消费和服务业的市场动态。</w:t>
      </w:r>
    </w:p>
    <w:p>
      <w:r>
        <w:rPr>
          <w:rFonts w:ascii="等线(中文正文)" w:hAnsi="等线(中文正文)" w:cs="等线(中文正文)" w:eastAsia="等线(中文正文)"/>
          <w:b w:val="false"/>
          <w:i w:val="false"/>
          <w:sz w:val="20"/>
        </w:rPr>
        <w:t/>
      </w:r>
    </w:p>
    <w:p>
      <w:pPr>
        <w:pStyle w:val="ab"/>
        <w:numPr>
          <w:numId w:val="5"/>
        </w:numPr>
      </w:pPr>
      <w:r>
        <w:t>10:17 消费市场复苏迹象与分化现状分析</w:t>
      </w:r>
    </w:p>
    <w:p>
      <w:r>
        <w:rPr>
          <w:rFonts w:ascii="等线(中文正文)" w:hAnsi="等线(中文正文)" w:cs="等线(中文正文)" w:eastAsia="等线(中文正文)"/>
          <w:b w:val="false"/>
          <w:i w:val="false"/>
          <w:sz w:val="20"/>
        </w:rPr>
        <w:t>对话分析了消费市场的整体情况，指出广谱性消费表现一般，但在补贴影响下以旧换新消费显著，餐饮业一线城市表现拖累，但上市公司数据显现复苏迹象，尤其是餐饮产业链和旅游出行类服务表现较好，总体消费市场分化明显。</w:t>
      </w:r>
    </w:p>
    <w:p>
      <w:r>
        <w:rPr>
          <w:rFonts w:ascii="等线(中文正文)" w:hAnsi="等线(中文正文)" w:cs="等线(中文正文)" w:eastAsia="等线(中文正文)"/>
          <w:b w:val="false"/>
          <w:i w:val="false"/>
          <w:sz w:val="20"/>
        </w:rPr>
        <w:t/>
      </w:r>
    </w:p>
    <w:p>
      <w:pPr>
        <w:pStyle w:val="ab"/>
        <w:numPr>
          <w:numId w:val="6"/>
        </w:numPr>
      </w:pPr>
      <w:r>
        <w:t>11:39 地产与产业趋势分析：上海地产与AI、新能源亮点</w:t>
      </w:r>
    </w:p>
    <w:p>
      <w:r>
        <w:rPr>
          <w:rFonts w:ascii="等线(中文正文)" w:hAnsi="等线(中文正文)" w:cs="等线(中文正文)" w:eastAsia="等线(中文正文)"/>
          <w:b w:val="false"/>
          <w:i w:val="false"/>
          <w:sz w:val="20"/>
        </w:rPr>
        <w:t>对话讨论了地产、尤其是上海地产的良好势头，以及AI和新能源产业的高景气度。指出上市公司层面表现优于全社会总体，光伏性地产、基建投资端开工率和消费表现较差，但上海地产和部分服务业消费亮点明显。AI和新能源产业连续两个季报超预期，全球主要指数盈利预测上调，科创创业板盈利预测差距拉大，产业风格趋势向好。</w:t>
      </w:r>
    </w:p>
    <w:p>
      <w:r>
        <w:rPr>
          <w:rFonts w:ascii="等线(中文正文)" w:hAnsi="等线(中文正文)" w:cs="等线(中文正文)" w:eastAsia="等线(中文正文)"/>
          <w:b w:val="false"/>
          <w:i w:val="false"/>
          <w:sz w:val="20"/>
        </w:rPr>
        <w:t/>
      </w:r>
    </w:p>
    <w:p>
      <w:pPr>
        <w:pStyle w:val="ab"/>
        <w:numPr>
          <w:numId w:val="7"/>
        </w:numPr>
      </w:pPr>
      <w:r>
        <w:t>14:27 市场趋势与情绪指标分析</w:t>
      </w:r>
    </w:p>
    <w:p>
      <w:r>
        <w:rPr>
          <w:rFonts w:ascii="等线(中文正文)" w:hAnsi="等线(中文正文)" w:cs="等线(中文正文)" w:eastAsia="等线(中文正文)"/>
          <w:b w:val="false"/>
          <w:i w:val="false"/>
          <w:sz w:val="20"/>
        </w:rPr>
        <w:t>讨论了四月阶段市场趋势及短期内的交易节奏，指出在国内外重大变化背景下，某些指标如成交占比难以判断高低。强调了情绪扩散指标在短期择时中的作用，通过观察上涨广度判断情绪周期位置，但不影响长期趋势判断。最后提到了五月传统谚语带来的潜在风险。</w:t>
      </w:r>
    </w:p>
    <w:p>
      <w:r>
        <w:rPr>
          <w:rFonts w:ascii="等线(中文正文)" w:hAnsi="等线(中文正文)" w:cs="等线(中文正文)" w:eastAsia="等线(中文正文)"/>
          <w:b w:val="false"/>
          <w:i w:val="false"/>
          <w:sz w:val="20"/>
        </w:rPr>
        <w:t/>
      </w:r>
    </w:p>
    <w:p>
      <w:pPr>
        <w:pStyle w:val="ab"/>
        <w:numPr>
          <w:numId w:val="8"/>
        </w:numPr>
      </w:pPr>
      <w:r>
        <w:t>17:19 季节性效应与全球股市表现分析</w:t>
      </w:r>
    </w:p>
    <w:p>
      <w:r>
        <w:rPr>
          <w:rFonts w:ascii="等线(中文正文)" w:hAnsi="等线(中文正文)" w:cs="等线(中文正文)" w:eastAsia="等线(中文正文)"/>
          <w:b w:val="false"/>
          <w:i w:val="false"/>
          <w:sz w:val="20"/>
        </w:rPr>
        <w:t>讨论了季节性效应对欧美股市表现的影响，指出欧洲五月至九月因休假导致市场清淡，股价波动风险大。美股纳指近十年五至十月表现优于十一月至次年四月，而标普500则相反。A股近十年五至十月表现强于十一月至次年四月。强调全球市场联动性，尤其是美股财报对全球市场影响。</w:t>
      </w:r>
    </w:p>
    <w:p>
      <w:r>
        <w:rPr>
          <w:rFonts w:ascii="等线(中文正文)" w:hAnsi="等线(中文正文)" w:cs="等线(中文正文)" w:eastAsia="等线(中文正文)"/>
          <w:b w:val="false"/>
          <w:i w:val="false"/>
          <w:sz w:val="20"/>
        </w:rPr>
        <w:t/>
      </w:r>
    </w:p>
    <w:p>
      <w:pPr>
        <w:pStyle w:val="ab"/>
        <w:numPr>
          <w:numId w:val="9"/>
        </w:numPr>
      </w:pPr>
      <w:r>
        <w:t>19:44 A股市场策略与产业周期分析</w:t>
      </w:r>
    </w:p>
    <w:p>
      <w:r>
        <w:rPr>
          <w:rFonts w:ascii="等线(中文正文)" w:hAnsi="等线(中文正文)" w:cs="等线(中文正文)" w:eastAsia="等线(中文正文)"/>
          <w:b w:val="false"/>
          <w:i w:val="false"/>
          <w:sz w:val="20"/>
        </w:rPr>
        <w:t>讨论了A股市场中五穷六绝效应的失效，强调了产业周期对市场的影响，指出创新产业和消费服务领域的亮点，以及市场风格的持续分化，建议投资者关注业绩和产业趋势，谨慎择时。</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他对当前市场情况进行了深入分析，重点关注了四月阶段的经济数据、上市公司年报季报的发布以及全球产业进展。他认为，基于这些数据，可以对未来的基本面趋势进行判断，并特别强调了节奏性策略和市场短期波动的担忧。在讨论“四月决断”期间的市场表现时，指出四月至十月是一年中股价与基本面关联度较高的时期，强调了决策后几个月内各板块股价表现的分化。他提到海外战争和油价波动对市场的影响，以及“卖在五月”等传统市场策略的适用性。分析了A股的结构变化，包括上市公司出口占比增加、新兴产业的崛起等，并比较了不同板块和指数的业绩表现。最终，他认为，尽管市场存在短期波动和季节性效应的担忧，但重点应放在产业趋势和公司的基本面之上，特别是在AI和新能源等高景气行业中寻找投资机会。</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问：四月份对于未来基本面趋势判断的重要性是什么？</w:t>
      </w:r>
    </w:p>
    <w:p>
      <w:r>
        <w:rPr>
          <w:rFonts w:ascii="等线(中文正文)" w:hAnsi="等线(中文正文)" w:cs="等线(中文正文)" w:eastAsia="等线(中文正文)"/>
          <w:b w:val="false"/>
          <w:i w:val="false"/>
          <w:sz w:val="20"/>
        </w:rPr>
        <w:t>发言人1 答：四月份对于未来基本面趋势判断非常重要，因为它涵盖了年报披露完毕、春节后旺季高频经济数据的披露以及政治局会议给出明确指引的时段。此外，全球层面产业进展也在此期间发生显著变化。通过结合这些信息，可以分析出四月阶段对未来基本面趋势的判断，并且关注节奏性交易性位置和潜在影响市场的波动因素。</w:t>
      </w:r>
    </w:p>
    <w:p>
      <w:r>
        <w:rPr>
          <w:rFonts w:ascii="等线(中文正文)" w:hAnsi="等线(中文正文)" w:cs="等线(中文正文)" w:eastAsia="等线(中文正文)"/>
          <w:b w:val="false"/>
          <w:i w:val="false"/>
          <w:sz w:val="20"/>
        </w:rPr>
        <w:t/>
      </w:r>
    </w:p>
    <w:p>
      <w:pPr>
        <w:pStyle w:val="ab"/>
      </w:pPr>
      <w:r>
        <w:t>发言人1 问：四月决断期间的基本面关注点有何特点？</w:t>
      </w:r>
    </w:p>
    <w:p>
      <w:r>
        <w:rPr>
          <w:rFonts w:ascii="等线(中文正文)" w:hAnsi="等线(中文正文)" w:cs="等线(中文正文)" w:eastAsia="等线(中文正文)"/>
          <w:b w:val="false"/>
          <w:i w:val="false"/>
          <w:sz w:val="20"/>
        </w:rPr>
        <w:t>发言人1 答：在四月决断阶段，股价与基本面的关联度较高，通常在四月至十月间尤为明显。这个阶段中，基本面和盈利状况对后续股价走势有较强影响。同时，在四月决断之后，五月、六月、七月各板块间股价表现的离散度和分化程度会快速拉大，因此结构配置比单纯仓位更重要，应选择景气度趋势良好的行业和个股以实现进可攻退可守的最优组合策略。</w:t>
      </w:r>
    </w:p>
    <w:p>
      <w:r>
        <w:rPr>
          <w:rFonts w:ascii="等线(中文正文)" w:hAnsi="等线(中文正文)" w:cs="等线(中文正文)" w:eastAsia="等线(中文正文)"/>
          <w:b w:val="false"/>
          <w:i w:val="false"/>
          <w:sz w:val="20"/>
        </w:rPr>
        <w:t/>
      </w:r>
    </w:p>
    <w:p>
      <w:pPr>
        <w:pStyle w:val="ab"/>
      </w:pPr>
      <w:r>
        <w:t>发言人1 问：基于四月份的数据，有哪些宏观经济指标与A股表现相关联？</w:t>
      </w:r>
    </w:p>
    <w:p>
      <w:r>
        <w:rPr>
          <w:rFonts w:ascii="等线(中文正文)" w:hAnsi="等线(中文正文)" w:cs="等线(中文正文)" w:eastAsia="等线(中文正文)"/>
          <w:b w:val="false"/>
          <w:i w:val="false"/>
          <w:sz w:val="20"/>
        </w:rPr>
        <w:t>发言人1 答：在四月份，信贷、社融尤其是中长期贷款（其中企业部门占60%、居民部门占40%）是反映实际需求的核心指标，与A股许多大贝塔性板块高度相关。例如，中长期贷款增速与白酒估值及恒生科技指数走势存在一致性，虽然本轮出现一定程度的分化，但整体上反映了广谱型消费和需求对实体加杠杆或实际需求的刻画。同时，上市公司层面的盈利增速表现优于全社会整体水平，一季度非金融类净利润增速达到约10%，环比增长460%，显示出上市公司的内生性增长情况优于宏观层面的表现。</w:t>
      </w:r>
    </w:p>
    <w:p>
      <w:r>
        <w:rPr>
          <w:rFonts w:ascii="等线(中文正文)" w:hAnsi="等线(中文正文)" w:cs="等线(中文正文)" w:eastAsia="等线(中文正文)"/>
          <w:b w:val="false"/>
          <w:i w:val="false"/>
          <w:sz w:val="20"/>
        </w:rPr>
        <w:t/>
      </w:r>
    </w:p>
    <w:p>
      <w:pPr>
        <w:pStyle w:val="ab"/>
      </w:pPr>
      <w:r>
        <w:t>发言人1 问：从企业端的杠杆情况看，上市公司样本的表现如何？</w:t>
      </w:r>
    </w:p>
    <w:p>
      <w:r>
        <w:rPr>
          <w:rFonts w:ascii="等线(中文正文)" w:hAnsi="等线(中文正文)" w:cs="等线(中文正文)" w:eastAsia="等线(中文正文)"/>
          <w:b w:val="false"/>
          <w:i w:val="false"/>
          <w:sz w:val="20"/>
        </w:rPr>
        <w:t>发言人1 答：从历年一季报资产负债率数据来看，上市公司样本的杠杆率连续回升，尤其是在剔除房地产行业后，回升更为明显。这表明相较于中长期贷款维度，上市公司的财务状况有所改善，并且上市公司在积极投入实体经济扩展，体现在连续五个季度的资本开支回升上。</w:t>
      </w:r>
    </w:p>
    <w:p>
      <w:r>
        <w:rPr>
          <w:rFonts w:ascii="等线(中文正文)" w:hAnsi="等线(中文正文)" w:cs="等线(中文正文)" w:eastAsia="等线(中文正文)"/>
          <w:b w:val="false"/>
          <w:i w:val="false"/>
          <w:sz w:val="20"/>
        </w:rPr>
        <w:t/>
      </w:r>
    </w:p>
    <w:p>
      <w:pPr>
        <w:pStyle w:val="ab"/>
      </w:pPr>
      <w:r>
        <w:t>发言人1 问：上市公司在投资意愿上与全社会整体有何不同？</w:t>
      </w:r>
    </w:p>
    <w:p>
      <w:r>
        <w:rPr>
          <w:rFonts w:ascii="等线(中文正文)" w:hAnsi="等线(中文正文)" w:cs="等线(中文正文)" w:eastAsia="等线(中文正文)"/>
          <w:b w:val="false"/>
          <w:i w:val="false"/>
          <w:sz w:val="20"/>
        </w:rPr>
        <w:t>发言人1 答：上市公司的投资意愿较强于全社会整体水平，体现在持续回升的资本开支和企稳的在建工程增速上。此外，上市公司的结构优化也起到了关键作用，海外收入占比提升较快，且海外毛利率高于国内，以及新兴产业利润占比增加，这些都反映出上市公司的整体活力和盈利能力优于全社会整体。</w:t>
      </w:r>
    </w:p>
    <w:p>
      <w:r>
        <w:rPr>
          <w:rFonts w:ascii="等线(中文正文)" w:hAnsi="等线(中文正文)" w:cs="等线(中文正文)" w:eastAsia="等线(中文正文)"/>
          <w:b w:val="false"/>
          <w:i w:val="false"/>
          <w:sz w:val="20"/>
        </w:rPr>
        <w:t/>
      </w:r>
    </w:p>
    <w:p>
      <w:pPr>
        <w:pStyle w:val="ab"/>
      </w:pPr>
      <w:r>
        <w:t>发言人1 问：目前全社会投资端，尤其是地产基建投资的情况如何？</w:t>
      </w:r>
    </w:p>
    <w:p>
      <w:r>
        <w:rPr>
          <w:rFonts w:ascii="等线(中文正文)" w:hAnsi="等线(中文正文)" w:cs="等线(中文正文)" w:eastAsia="等线(中文正文)"/>
          <w:b w:val="false"/>
          <w:i w:val="false"/>
          <w:sz w:val="20"/>
        </w:rPr>
        <w:t>发言人1 答：全社会投资端，特别是地产基建投资的情况一般。螺纹钢、石油沥青、混凝土等原材料价格走低，开工率低于历史同期水平。然而，尿素行业因海外供给受制于油价上涨和短缺而开工率上升，汽车相关领域表现相对较好，尤其是新能源汽车实际表现并未如预期般低迷，而地产基建投资端则一般。</w:t>
      </w:r>
    </w:p>
    <w:p>
      <w:r>
        <w:rPr>
          <w:rFonts w:ascii="等线(中文正文)" w:hAnsi="等线(中文正文)" w:cs="等线(中文正文)" w:eastAsia="等线(中文正文)"/>
          <w:b w:val="false"/>
          <w:i w:val="false"/>
          <w:sz w:val="20"/>
        </w:rPr>
        <w:t/>
      </w:r>
    </w:p>
    <w:p>
      <w:pPr>
        <w:pStyle w:val="ab"/>
      </w:pPr>
      <w:r>
        <w:t>发言人1 问：消费和服务业方面的情况怎样，以茅台为例？</w:t>
      </w:r>
    </w:p>
    <w:p>
      <w:r>
        <w:rPr>
          <w:rFonts w:ascii="等线(中文正文)" w:hAnsi="等线(中文正文)" w:cs="等线(中文正文)" w:eastAsia="等线(中文正文)"/>
          <w:b w:val="false"/>
          <w:i w:val="false"/>
          <w:sz w:val="20"/>
        </w:rPr>
        <w:t>发言人1 答：消费和服务业方面，茅台价格经历企稳回升后有所回落但仍保持相对稳定。更广泛的消费数据中，商品零售表现出一般水平，以旧换新政策对消费有一定影响，而餐饮业在一线城市仍面临拖累，整体形势平稳但增速放缓。</w:t>
      </w:r>
    </w:p>
    <w:p>
      <w:r>
        <w:rPr>
          <w:rFonts w:ascii="等线(中文正文)" w:hAnsi="等线(中文正文)" w:cs="等线(中文正文)" w:eastAsia="等线(中文正文)"/>
          <w:b w:val="false"/>
          <w:i w:val="false"/>
          <w:sz w:val="20"/>
        </w:rPr>
        <w:t/>
      </w:r>
    </w:p>
    <w:p>
      <w:pPr>
        <w:pStyle w:val="ab"/>
      </w:pPr>
      <w:r>
        <w:t>发言人1 问：在消费类行业中，有哪些具体的复苏迹象？</w:t>
      </w:r>
    </w:p>
    <w:p>
      <w:r>
        <w:rPr>
          <w:rFonts w:ascii="等线(中文正文)" w:hAnsi="等线(中文正文)" w:cs="等线(中文正文)" w:eastAsia="等线(中文正文)"/>
          <w:b w:val="false"/>
          <w:i w:val="false"/>
          <w:sz w:val="20"/>
        </w:rPr>
        <w:t>发言人1 答：从上市公司一季报和年报数据来看，餐饮产业链、调味品低端行业以及旅游出行类如酒店业表现出改善趋势。此外，铁路、公路运输和民航客座率也相对保持良好状态，尤其是航空公司的财务报表表现不错。总体而言，消费类行业的复苏呈现广谱性特征。</w:t>
      </w:r>
    </w:p>
    <w:p>
      <w:r>
        <w:rPr>
          <w:rFonts w:ascii="等线(中文正文)" w:hAnsi="等线(中文正文)" w:cs="等线(中文正文)" w:eastAsia="等线(中文正文)"/>
          <w:b w:val="false"/>
          <w:i w:val="false"/>
          <w:sz w:val="20"/>
        </w:rPr>
        <w:t/>
      </w:r>
    </w:p>
    <w:p>
      <w:pPr>
        <w:pStyle w:val="ab"/>
      </w:pPr>
      <w:r>
        <w:t>发言人1 问：地产市场的现状如何？</w:t>
      </w:r>
    </w:p>
    <w:p>
      <w:r>
        <w:rPr>
          <w:rFonts w:ascii="等线(中文正文)" w:hAnsi="等线(中文正文)" w:cs="等线(中文正文)" w:eastAsia="等线(中文正文)"/>
          <w:b w:val="false"/>
          <w:i w:val="false"/>
          <w:sz w:val="20"/>
        </w:rPr>
        <w:t>发言人1 答：地产市场中，上海的情况表现最好，二手房交易量较之前季节性时期有显著提升。不过，淡季过后，一线城市如上海等地的情况如何仍存在一定的分歧。</w:t>
      </w:r>
    </w:p>
    <w:p>
      <w:r>
        <w:rPr>
          <w:rFonts w:ascii="等线(中文正文)" w:hAnsi="等线(中文正文)" w:cs="等线(中文正文)" w:eastAsia="等线(中文正文)"/>
          <w:b w:val="false"/>
          <w:i w:val="false"/>
          <w:sz w:val="20"/>
        </w:rPr>
        <w:t/>
      </w:r>
    </w:p>
    <w:p>
      <w:pPr>
        <w:pStyle w:val="ab"/>
      </w:pPr>
      <w:r>
        <w:t>发言人1 问：从宏观经济和上市公司数据来看，有哪些主要结论？</w:t>
      </w:r>
    </w:p>
    <w:p>
      <w:r>
        <w:rPr>
          <w:rFonts w:ascii="等线(中文正文)" w:hAnsi="等线(中文正文)" w:cs="等线(中文正文)" w:eastAsia="等线(中文正文)"/>
          <w:b w:val="false"/>
          <w:i w:val="false"/>
          <w:sz w:val="20"/>
        </w:rPr>
        <w:t>发言人1 答：目前上市公司层面的表现明显优于全社会整体水平。社会消费总体上分化较大，但光伏性地产、基建投资开工率以及光伏性消费相对较弱，而局部服务型消费（例如餐饮产业链）和上海地产表现较为突出。同时，AI和新能源产业在产业端展现出最大亮点，相关企业在财务报表中表现超预期。</w:t>
      </w:r>
    </w:p>
    <w:p>
      <w:r>
        <w:rPr>
          <w:rFonts w:ascii="等线(中文正文)" w:hAnsi="等线(中文正文)" w:cs="等线(中文正文)" w:eastAsia="等线(中文正文)"/>
          <w:b w:val="false"/>
          <w:i w:val="false"/>
          <w:sz w:val="20"/>
        </w:rPr>
        <w:t/>
      </w:r>
    </w:p>
    <w:p>
      <w:pPr>
        <w:pStyle w:val="ab"/>
      </w:pPr>
      <w:r>
        <w:t>发言人1 问：AI和新能源产业链在财务表现上是否持续强劲？</w:t>
      </w:r>
    </w:p>
    <w:p>
      <w:r>
        <w:rPr>
          <w:rFonts w:ascii="等线(中文正文)" w:hAnsi="等线(中文正文)" w:cs="等线(中文正文)" w:eastAsia="等线(中文正文)"/>
          <w:b w:val="false"/>
          <w:i w:val="false"/>
          <w:sz w:val="20"/>
        </w:rPr>
        <w:t>发言人1 答：国内外的AI和新能源产业链在财务上均表现出强劲的增长势头。储能领域连续两个季度超预期，锂矿、锂电材料和电池等环节在一季报中均有全面的超预期表现；海外公布的美股财报也显示大部分科技大厂业绩以超预期为主，进一步验证了AI和新能源产业的贝塔性质景气度。</w:t>
      </w:r>
    </w:p>
    <w:p>
      <w:r>
        <w:rPr>
          <w:rFonts w:ascii="等线(中文正文)" w:hAnsi="等线(中文正文)" w:cs="等线(中文正文)" w:eastAsia="等线(中文正文)"/>
          <w:b w:val="false"/>
          <w:i w:val="false"/>
          <w:sz w:val="20"/>
        </w:rPr>
        <w:t/>
      </w:r>
    </w:p>
    <w:p>
      <w:pPr>
        <w:pStyle w:val="ab"/>
      </w:pPr>
      <w:r>
        <w:t>发言人1 问：全球主要指数盈利预测的调整情况如何？</w:t>
      </w:r>
    </w:p>
    <w:p>
      <w:r>
        <w:rPr>
          <w:rFonts w:ascii="等线(中文正文)" w:hAnsi="等线(中文正文)" w:cs="等线(中文正文)" w:eastAsia="等线(中文正文)"/>
          <w:b w:val="false"/>
          <w:i w:val="false"/>
          <w:sz w:val="20"/>
        </w:rPr>
        <w:t>发言人1 答：自二月底开始，全球主要指数如标普500、纳斯达克、创业板、日本和中国台湾指数的盈利预测均被上调，上调的原因主要是AI产业链和新能源行业的业绩增长。这导致科创创业板相对于沪深300的盈利预测差距进一步拉大，显示出科创创业风格在当前阶段具有较高的确定性。</w:t>
      </w:r>
    </w:p>
    <w:p>
      <w:r>
        <w:rPr>
          <w:rFonts w:ascii="等线(中文正文)" w:hAnsi="等线(中文正文)" w:cs="等线(中文正文)" w:eastAsia="等线(中文正文)"/>
          <w:b w:val="false"/>
          <w:i w:val="false"/>
          <w:sz w:val="20"/>
        </w:rPr>
        <w:t/>
      </w:r>
    </w:p>
    <w:p>
      <w:pPr>
        <w:pStyle w:val="ab"/>
      </w:pPr>
      <w:r>
        <w:t>发言人1 问：对于当前市场趋势和短期节奏判断有何见解？</w:t>
      </w:r>
    </w:p>
    <w:p>
      <w:r>
        <w:rPr>
          <w:rFonts w:ascii="等线(中文正文)" w:hAnsi="等线(中文正文)" w:cs="等线(中文正文)" w:eastAsia="等线(中文正文)"/>
          <w:b w:val="false"/>
          <w:i w:val="false"/>
          <w:sz w:val="20"/>
        </w:rPr>
        <w:t>发言人1 答：在趋势判断上，四月份以来的趋势性问题以及短期内的节奏变化难以准确判断，尤其是成交占比指标。然而，通过情绪扩散指标监测板块内上涨广度可以一定程度上反映短期情绪周期的位置。例如，当上涨广度达到高位时，可能意味着情绪过热；而在低位则适合抄底。经过近期反弹后，该指标已升至75分位，预计未来若进一步扩散至100分位，可能会出现情绪过热的阶段性高点。</w:t>
      </w:r>
    </w:p>
    <w:p>
      <w:r>
        <w:rPr>
          <w:rFonts w:ascii="等线(中文正文)" w:hAnsi="等线(中文正文)" w:cs="等线(中文正文)" w:eastAsia="等线(中文正文)"/>
          <w:b w:val="false"/>
          <w:i w:val="false"/>
          <w:sz w:val="20"/>
        </w:rPr>
        <w:t/>
      </w:r>
    </w:p>
    <w:p>
      <w:pPr>
        <w:pStyle w:val="ab"/>
      </w:pPr>
      <w:r>
        <w:t>发言人1 问：在中报预告期间，市场情绪指标的重要性如何？</w:t>
      </w:r>
    </w:p>
    <w:p>
      <w:r>
        <w:rPr>
          <w:rFonts w:ascii="等线(中文正文)" w:hAnsi="等线(中文正文)" w:cs="等线(中文正文)" w:eastAsia="等线(中文正文)"/>
          <w:b w:val="false"/>
          <w:i w:val="false"/>
          <w:sz w:val="20"/>
        </w:rPr>
        <w:t>发言人1 答：情绪指标在中报预告阶段可能对短期利润受阻的方向较为重要，但对于能产生利润的方向，长期持有等待下一个季报期也是可取的，因为届时会有业绩硬核的股票出现更好的超额表现阶段。</w:t>
      </w:r>
    </w:p>
    <w:p>
      <w:r>
        <w:rPr>
          <w:rFonts w:ascii="等线(中文正文)" w:hAnsi="等线(中文正文)" w:cs="等线(中文正文)" w:eastAsia="等线(中文正文)"/>
          <w:b w:val="false"/>
          <w:i w:val="false"/>
          <w:sz w:val="20"/>
        </w:rPr>
        <w:t/>
      </w:r>
    </w:p>
    <w:p>
      <w:pPr>
        <w:pStyle w:val="ab"/>
      </w:pPr>
      <w:r>
        <w:t>发言人1 问：海外市场中的五月效应（May Cycle）是否会影响A股市场表现？</w:t>
      </w:r>
    </w:p>
    <w:p>
      <w:r>
        <w:rPr>
          <w:rFonts w:ascii="等线(中文正文)" w:hAnsi="等线(中文正文)" w:cs="等线(中文正文)" w:eastAsia="等线(中文正文)"/>
          <w:b w:val="false"/>
          <w:i w:val="false"/>
          <w:sz w:val="20"/>
        </w:rPr>
        <w:t>发言人1 答：五月效应是海外的一种季节性现象，源于欧洲贵族和金融参与者在五月至九月休假导致市场成交清淡，股价波动风险增加。不过，从A股过去20年和10年的数据来看，5到10月份的表现实际上要强于11月至次年4月份。</w:t>
      </w:r>
    </w:p>
    <w:p>
      <w:r>
        <w:rPr>
          <w:rFonts w:ascii="等线(中文正文)" w:hAnsi="等线(中文正文)" w:cs="等线(中文正文)" w:eastAsia="等线(中文正文)"/>
          <w:b w:val="false"/>
          <w:i w:val="false"/>
          <w:sz w:val="20"/>
        </w:rPr>
        <w:t/>
      </w:r>
    </w:p>
    <w:p>
      <w:pPr>
        <w:pStyle w:val="ab"/>
      </w:pPr>
      <w:r>
        <w:t>发言人1 问：美股是否有类似五月效应的现象？</w:t>
      </w:r>
    </w:p>
    <w:p>
      <w:r>
        <w:rPr>
          <w:rFonts w:ascii="等线(中文正文)" w:hAnsi="等线(中文正文)" w:cs="等线(中文正文)" w:eastAsia="等线(中文正文)"/>
          <w:b w:val="false"/>
          <w:i w:val="false"/>
          <w:sz w:val="20"/>
        </w:rPr>
        <w:t>发言人1 答：美股的五月效应在最近20年内基本消失，如纳斯达克指数，在过去30年的数据中，5到10月份的表现甚至优于11月至次年4月份。这表明美股并没有明显的五月效应，但标普500可能会受经济影响而稍微强一些。</w:t>
      </w:r>
    </w:p>
    <w:p>
      <w:r>
        <w:rPr>
          <w:rFonts w:ascii="等线(中文正文)" w:hAnsi="等线(中文正文)" w:cs="等线(中文正文)" w:eastAsia="等线(中文正文)"/>
          <w:b w:val="false"/>
          <w:i w:val="false"/>
          <w:sz w:val="20"/>
        </w:rPr>
        <w:t/>
      </w:r>
    </w:p>
    <w:p>
      <w:pPr>
        <w:pStyle w:val="ab"/>
      </w:pPr>
      <w:r>
        <w:t>发言人1 问：A股市场的“五穷六绝七翻身”谚语是否有效？</w:t>
      </w:r>
    </w:p>
    <w:p>
      <w:r>
        <w:rPr>
          <w:rFonts w:ascii="等线(中文正文)" w:hAnsi="等线(中文正文)" w:cs="等线(中文正文)" w:eastAsia="等线(中文正文)"/>
          <w:b w:val="false"/>
          <w:i w:val="false"/>
          <w:sz w:val="20"/>
        </w:rPr>
        <w:t>发言人1 答：“五穷六绝”这一说法在过去的十年或五年中，并不是一个有效的日历效应，无论是上证指数还是其他指数，五月份的表现并不一定差于六月份。</w:t>
      </w:r>
    </w:p>
    <w:p>
      <w:r>
        <w:rPr>
          <w:rFonts w:ascii="等线(中文正文)" w:hAnsi="等线(中文正文)" w:cs="等线(中文正文)" w:eastAsia="等线(中文正文)"/>
          <w:b w:val="false"/>
          <w:i w:val="false"/>
          <w:sz w:val="20"/>
        </w:rPr>
        <w:t/>
      </w:r>
    </w:p>
    <w:p>
      <w:pPr>
        <w:pStyle w:val="ab"/>
      </w:pPr>
      <w:r>
        <w:t>发言人1 问：资金面变化对A股的影响是否减弱？</w:t>
      </w:r>
    </w:p>
    <w:p>
      <w:r>
        <w:rPr>
          <w:rFonts w:ascii="等线(中文正文)" w:hAnsi="等线(中文正文)" w:cs="等线(中文正文)" w:eastAsia="等线(中文正文)"/>
          <w:b w:val="false"/>
          <w:i w:val="false"/>
          <w:sz w:val="20"/>
        </w:rPr>
        <w:t>发言人1 答：是的，随着A股主导产业从传统经济转向新兴产业，资金面的影响逐渐变小，不再像过去那样强烈地影响整个市场的运行节奏。现在A股的利润结构发生变化，新的产业周期成为了驱动市场的主要力量。</w:t>
      </w:r>
    </w:p>
    <w:p>
      <w:r>
        <w:rPr>
          <w:rFonts w:ascii="等线(中文正文)" w:hAnsi="等线(中文正文)" w:cs="等线(中文正文)" w:eastAsia="等线(中文正文)"/>
          <w:b w:val="false"/>
          <w:i w:val="false"/>
          <w:sz w:val="20"/>
        </w:rPr>
        <w:t/>
      </w:r>
    </w:p>
    <w:p>
      <w:pPr>
        <w:pStyle w:val="ab"/>
      </w:pPr>
      <w:r>
        <w:t>发言人1 问：下一阶段市场风格是否会有所改变？</w:t>
      </w:r>
    </w:p>
    <w:p>
      <w:r>
        <w:rPr>
          <w:rFonts w:ascii="等线(中文正文)" w:hAnsi="等线(中文正文)" w:cs="等线(中文正文)" w:eastAsia="等线(中文正文)"/>
          <w:b w:val="false"/>
          <w:i w:val="false"/>
          <w:sz w:val="20"/>
        </w:rPr>
        <w:t>发言人1 答：根据目前的数据和趋势，广谱性投资端和消费端的景气度一般，但在服务性消费和特定产业链如餐饮、调味品、旅游出行等领域存在亮点。从科创创业板与沪深300的业绩比较来看，未来市场风格可能仍以AI和新能源等产业链为主导，业绩裂口持续扩大，节奏上则关注业绩预告窗口期带来的投资机会。</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2026-05-05T15:20:03Z</dcterms:created>
  <dc:creator>Apache POI</dc:creator>
</cp:coreProperties>
</file>