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华邦健康 260430_导读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华邦健康 医药业务 净利润 现金流 分红 农化新材料 旅游业务 医疗业务 商誉减值 资产质量 股息率 抗衰品牌 长寿诊所 康复医院 业绩反转 高比例分红 经营性现金流 皮肤临床用药 大健康领域 长寿健康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邦健康，自1992年成立以来，已成为国内皮肤临床用药及健康领域的领军企业，于深交所上市。公司业务多元，以医药医疗为核心，农化新材料比重渐减。财务稳健，现金流充裕，负债率低，持续高比例分红，股息率超8%。聚焦大健康领域，特别是在长寿医疗和皮肤科方面有明确布局，已在京渝开设健康长寿医疗机构，并与品牌合作推出抗衰品牌。未来规划进一步扩展医疗健康服务，涵盖基础医疗、康复医疗和健康长寿医疗，致力于全方位健康管理服务。</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华邦健康经营情况与大健康领域展望</w:t>
      </w:r>
    </w:p>
    <w:p>
      <w:r>
        <w:rPr>
          <w:rFonts w:ascii="等线(中文正文)" w:hAnsi="等线(中文正文)" w:cs="等线(中文正文)" w:eastAsia="等线(中文正文)"/>
          <w:b w:val="false"/>
          <w:i w:val="false"/>
          <w:sz w:val="20"/>
        </w:rPr>
        <w:t>对话介绍了华邦健康作为皮肤临床用药及健康领域领先企业的经营概况，提及公司1992年成立，2004年上市，采用一A加3A的控股模式，主业聚焦医药医疗，同时涉及旅游和新材料领域。华邦健康强调其在医药主业上的专注与资产优良，以及积极分红的策略，表达对未来大健康领域发展的看好，并邀请投资者深入了解公司情况。</w:t>
      </w:r>
    </w:p>
    <w:p>
      <w:r>
        <w:rPr>
          <w:rFonts w:ascii="等线(中文正文)" w:hAnsi="等线(中文正文)" w:cs="等线(中文正文)" w:eastAsia="等线(中文正文)"/>
          <w:b w:val="false"/>
          <w:i w:val="false"/>
          <w:sz w:val="20"/>
        </w:rPr>
        <w:t/>
      </w:r>
    </w:p>
    <w:p>
      <w:pPr>
        <w:pStyle w:val="ab"/>
        <w:numPr>
          <w:numId w:val="2"/>
        </w:numPr>
      </w:pPr>
      <w:r>
        <w:t>01:56 华邦业绩反转解析：商誉减值减少与业务调整</w:t>
      </w:r>
    </w:p>
    <w:p>
      <w:r>
        <w:rPr>
          <w:rFonts w:ascii="等线(中文正文)" w:hAnsi="等线(中文正文)" w:cs="等线(中文正文)" w:eastAsia="等线(中文正文)"/>
          <w:b w:val="false"/>
          <w:i w:val="false"/>
          <w:sz w:val="20"/>
        </w:rPr>
        <w:t>通过2025年报，阐述华邦业绩从负三亿转为七亿的原因，主要归结于商誉减值减少、农化新材料减亏及医药业务稳定发展。医药业务贡献32亿收入与8.2亿净利润，农化新材料虽低毛利但周期性回暖，期待2026年进一步改善。</w:t>
      </w:r>
    </w:p>
    <w:p>
      <w:r>
        <w:rPr>
          <w:rFonts w:ascii="等线(中文正文)" w:hAnsi="等线(中文正文)" w:cs="等线(中文正文)" w:eastAsia="等线(中文正文)"/>
          <w:b w:val="false"/>
          <w:i w:val="false"/>
          <w:sz w:val="20"/>
        </w:rPr>
        <w:t/>
      </w:r>
    </w:p>
    <w:p>
      <w:pPr>
        <w:pStyle w:val="ab"/>
        <w:numPr>
          <w:numId w:val="3"/>
        </w:numPr>
      </w:pPr>
      <w:r>
        <w:t>03:37 华邦医疗与旅游业务增长及财务健康状况分析</w:t>
      </w:r>
    </w:p>
    <w:p>
      <w:r>
        <w:rPr>
          <w:rFonts w:ascii="等线(中文正文)" w:hAnsi="等线(中文正文)" w:cs="等线(中文正文)" w:eastAsia="等线(中文正文)"/>
          <w:b w:val="false"/>
          <w:i w:val="false"/>
          <w:sz w:val="20"/>
        </w:rPr>
        <w:t>华邦医疗业务在成长期，尽管25年因新诊所运营和德国康复医院下滑导致增亏，但26年已恢复。旅游业务收入稳定，受天气影响利润持平。华邦财务状况良好，现金流强劲，现金储备丰厚，资产负债率降低。商誉风险已有效释放，资产质量提升。公司保持高比例分红，股息率超过8%，管理层有持续高分红意愿。</w:t>
      </w:r>
    </w:p>
    <w:p>
      <w:r>
        <w:rPr>
          <w:rFonts w:ascii="等线(中文正文)" w:hAnsi="等线(中文正文)" w:cs="等线(中文正文)" w:eastAsia="等线(中文正文)"/>
          <w:b w:val="false"/>
          <w:i w:val="false"/>
          <w:sz w:val="20"/>
        </w:rPr>
        <w:t/>
      </w:r>
    </w:p>
    <w:p>
      <w:pPr>
        <w:pStyle w:val="ab"/>
        <w:numPr>
          <w:numId w:val="4"/>
        </w:numPr>
      </w:pPr>
      <w:r>
        <w:t>06:34 华邦聚焦大健康，减持非核心业务</w:t>
      </w:r>
    </w:p>
    <w:p>
      <w:r>
        <w:rPr>
          <w:rFonts w:ascii="等线(中文正文)" w:hAnsi="等线(中文正文)" w:cs="等线(中文正文)" w:eastAsia="等线(中文正文)"/>
          <w:b w:val="false"/>
          <w:i w:val="false"/>
          <w:sz w:val="20"/>
        </w:rPr>
        <w:t>华邦的战略方向为聚焦大健康领域，逐步减持非核心业务如农化新材料，2025年银泰生物持股降至47.7%，凯盛新材降至28%，并计划进一步减持。医药业务以化学仿制药为主，覆盖常见皮肤病，原料药自给自足，销售以自营为主。创新药领域，参股普瑞金，持有13.2%，涉及BD合作。</w:t>
      </w:r>
    </w:p>
    <w:p>
      <w:r>
        <w:rPr>
          <w:rFonts w:ascii="等线(中文正文)" w:hAnsi="等线(中文正文)" w:cs="等线(中文正文)" w:eastAsia="等线(中文正文)"/>
          <w:b w:val="false"/>
          <w:i w:val="false"/>
          <w:sz w:val="20"/>
        </w:rPr>
        <w:t/>
      </w:r>
    </w:p>
    <w:p>
      <w:pPr>
        <w:pStyle w:val="ab"/>
        <w:numPr>
          <w:numId w:val="5"/>
        </w:numPr>
      </w:pPr>
      <w:r>
        <w:t>08:40 华邦医疗与旅游业务全景解析</w:t>
      </w:r>
    </w:p>
    <w:p>
      <w:r>
        <w:rPr>
          <w:rFonts w:ascii="等线(中文正文)" w:hAnsi="等线(中文正文)" w:cs="等线(中文正文)" w:eastAsia="等线(中文正文)"/>
          <w:b w:val="false"/>
          <w:i w:val="false"/>
          <w:sz w:val="20"/>
        </w:rPr>
        <w:t>华邦在医疗领域构建了涵盖基础、康复及健康长寿的业务生态，重庆中山医院与华生康复医院表现突出，健康长寿业务通过实体机构与品牌合作展现潜力。旅游业务覆盖丽江、秦岭及广西崇左，包括景区运营与酒店管理，彰显多元化发展策略。</w:t>
      </w:r>
    </w:p>
    <w:p>
      <w:r>
        <w:rPr>
          <w:rFonts w:ascii="等线(中文正文)" w:hAnsi="等线(中文正文)" w:cs="等线(中文正文)" w:eastAsia="等线(中文正文)"/>
          <w:b w:val="false"/>
          <w:i w:val="false"/>
          <w:sz w:val="20"/>
        </w:rPr>
        <w:t/>
      </w:r>
    </w:p>
    <w:p>
      <w:pPr>
        <w:pStyle w:val="ab"/>
        <w:numPr>
          <w:numId w:val="6"/>
        </w:numPr>
      </w:pPr>
      <w:r>
        <w:t>11:11 华邦健康：低估值下的优质资产与现金流支撑</w:t>
      </w:r>
    </w:p>
    <w:p>
      <w:r>
        <w:rPr>
          <w:rFonts w:ascii="等线(中文正文)" w:hAnsi="等线(中文正文)" w:cs="等线(中文正文)" w:eastAsia="等线(中文正文)"/>
          <w:b w:val="false"/>
          <w:i w:val="false"/>
          <w:sz w:val="20"/>
        </w:rPr>
        <w:t>华邦健康当前市值约100亿，医药业务净利润8亿，市盈率15倍以下，拥有15亿现金储备，旗下资产包括稀缺旅游资源和成长性医疗业务，具备低估值、现金流支撑、优质资产及高分红历史的特点。</w:t>
      </w:r>
    </w:p>
    <w:p>
      <w:r>
        <w:rPr>
          <w:rFonts w:ascii="等线(中文正文)" w:hAnsi="等线(中文正文)" w:cs="等线(中文正文)" w:eastAsia="等线(中文正文)"/>
          <w:b w:val="false"/>
          <w:i w:val="false"/>
          <w:sz w:val="20"/>
        </w:rPr>
        <w:t/>
      </w:r>
    </w:p>
    <w:p>
      <w:pPr>
        <w:pStyle w:val="ab"/>
        <w:numPr>
          <w:numId w:val="7"/>
        </w:numPr>
      </w:pPr>
      <w:r>
        <w:t>12:16 华邦健康探讨长寿健康领域整合与拓展</w:t>
      </w:r>
    </w:p>
    <w:p>
      <w:r>
        <w:rPr>
          <w:rFonts w:ascii="等线(中文正文)" w:hAnsi="等线(中文正文)" w:cs="等线(中文正文)" w:eastAsia="等线(中文正文)"/>
          <w:b w:val="false"/>
          <w:i w:val="false"/>
          <w:sz w:val="20"/>
        </w:rPr>
        <w:t>对话围绕华邦健康如何整合康复、抗衰等业务，提供全面健康管理服务展开。提及通过华山康复医院与嵩山医院联动，以及长寿门诊的设立，实现医疗资源互补。讨论了长寿健康领域的底层逻辑，包括自然疗法、功能医学等科学方法的整合。针对长寿板块规划，强调服务端落地与连锁模式的谨慎推进，同时欢迎行业竞争者共同扩大市场。</w:t>
      </w:r>
    </w:p>
    <w:p>
      <w:r>
        <w:rPr>
          <w:rFonts w:ascii="等线(中文正文)" w:hAnsi="等线(中文正文)" w:cs="等线(中文正文)" w:eastAsia="等线(中文正文)"/>
          <w:b w:val="false"/>
          <w:i w:val="false"/>
          <w:sz w:val="20"/>
        </w:rPr>
        <w:t/>
      </w:r>
    </w:p>
    <w:p>
      <w:pPr>
        <w:pStyle w:val="ab"/>
        <w:numPr>
          <w:numId w:val="8"/>
        </w:numPr>
      </w:pPr>
      <w:r>
        <w:t>16:46 华邦业绩分析与健康医疗业务进展</w:t>
      </w:r>
    </w:p>
    <w:p>
      <w:r>
        <w:rPr>
          <w:rFonts w:ascii="等线(中文正文)" w:hAnsi="等线(中文正文)" w:cs="等线(中文正文)" w:eastAsia="等线(中文正文)"/>
          <w:b w:val="false"/>
          <w:i w:val="false"/>
          <w:sz w:val="20"/>
        </w:rPr>
        <w:t>会议中讨论了华邦2025年业绩改善及Q1增速波动原因，重点分析了汇率损益对净利润的影响。同时介绍了健康及长寿医疗业务的经营情况，重庆店实现盈亏平衡，北京新店收入接近1000万。线上投资者可通过指定方式提问。</w:t>
      </w:r>
    </w:p>
    <w:p>
      <w:r>
        <w:rPr>
          <w:rFonts w:ascii="等线(中文正文)" w:hAnsi="等线(中文正文)" w:cs="等线(中文正文)" w:eastAsia="等线(中文正文)"/>
          <w:b w:val="false"/>
          <w:i w:val="false"/>
          <w:sz w:val="20"/>
        </w:rPr>
        <w:t/>
      </w:r>
    </w:p>
    <w:p>
      <w:pPr>
        <w:pStyle w:val="ab"/>
        <w:numPr>
          <w:numId w:val="9"/>
        </w:numPr>
      </w:pPr>
      <w:r>
        <w:t>20:29 华邦长寿与医疗业务布局解析</w:t>
      </w:r>
    </w:p>
    <w:p>
      <w:r>
        <w:rPr>
          <w:rFonts w:ascii="等线(中文正文)" w:hAnsi="等线(中文正文)" w:cs="等线(中文正文)" w:eastAsia="等线(中文正文)"/>
          <w:b w:val="false"/>
          <w:i w:val="false"/>
          <w:sz w:val="20"/>
        </w:rPr>
        <w:t>对话围绕华邦在长寿及医疗业务的布局展开，介绍了北京和重庆两地的长寿医疗机构，以及与BJ合作的博瑞蓝图品牌。医疗生态布局涵盖重庆松山医院与北京华生康复医院，前者收入达7亿，后者收入2亿，均展现良好发展势头。长寿医疗部分去年收入4000万，重庆店已盈利，北京店尚有亏损。整体布局呈现快速成长趋势，期待大健康文旅与基础医疗协同发展中。</w:t>
      </w:r>
    </w:p>
    <w:p>
      <w:r>
        <w:rPr>
          <w:rFonts w:ascii="等线(中文正文)" w:hAnsi="等线(中文正文)" w:cs="等线(中文正文)" w:eastAsia="等线(中文正文)"/>
          <w:b w:val="false"/>
          <w:i w:val="false"/>
          <w:sz w:val="20"/>
        </w:rPr>
        <w:t/>
      </w:r>
    </w:p>
    <w:p>
      <w:pPr>
        <w:pStyle w:val="ab"/>
        <w:numPr>
          <w:numId w:val="10"/>
        </w:numPr>
      </w:pPr>
      <w:r>
        <w:t>24:22 华邦健康皮肤科与农化新材料业务展望</w:t>
      </w:r>
    </w:p>
    <w:p>
      <w:r>
        <w:rPr>
          <w:rFonts w:ascii="等线(中文正文)" w:hAnsi="等线(中文正文)" w:cs="等线(中文正文)" w:eastAsia="等线(中文正文)"/>
          <w:b w:val="false"/>
          <w:i w:val="false"/>
          <w:sz w:val="20"/>
        </w:rPr>
        <w:t>讨论了皮肤科作为成熟市场的稳定现金流来源，未来将侧重于零售端拓展；农化新材料业务正逐步降低持股比例，具体出表节奏取决于可交债换股完成情况。会议强调了公司在医疗皮肤科领域的深厚根基及长寿医疗领域的战略规划，期待其医药医疗领域长远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对华邦健康的业务和未来发展进行了全面介绍。华邦健康自1992年上市以来，专注于医药主业，展现了优秀的资产质量和高分红能力。发言人强调公司战略聚焦大健康领域，特别是在医药、医疗及旅游的多元化布局。通过持有四家上市公司和一家新三板企业，构建了广泛稳定的收入来源。过去几年，公司优化结构，减少农化新材料投资，增加医药和医疗领域布局，特别是在长寿医疗和皮肤科业务的发展。尽管一季度业绩波动，通过调整实现财务改善，预计持续良好增长。发言人表达了对华邦健康未来在长寿健康、医药及医疗领域深入探索的信心，并强调公司将持续关注医疗健康领域，特别是在长寿医疗和创新药方面的投入，同时保持高分红政策，为股东创造长期价值。</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问：请胡总和杨总介绍一下公司大概的经营情况？</w:t>
      </w:r>
    </w:p>
    <w:p>
      <w:r>
        <w:rPr>
          <w:rFonts w:ascii="等线(中文正文)" w:hAnsi="等线(中文正文)" w:cs="等线(中文正文)" w:eastAsia="等线(中文正文)"/>
          <w:b w:val="false"/>
          <w:i w:val="false"/>
          <w:sz w:val="20"/>
        </w:rPr>
        <w:t>发言人1 答：华邦健康是国内皮肤临床用药及皮肤健康领域的领先企业，自1992年成立以来，于2004年在深交所上市。公司采用一A加三A的模式运营，除了华邦健康本身外，还控股了三家A股上市公司（丽江股份、凯盛新材和银泰生物）以及一家新三板挂牌企业，并参股福瑞金。截至2025年，华邦整体总资产接近300亿，归母净资产接近100亿。</w:t>
      </w:r>
    </w:p>
    <w:p>
      <w:r>
        <w:rPr>
          <w:rFonts w:ascii="等线(中文正文)" w:hAnsi="等线(中文正文)" w:cs="等线(中文正文)" w:eastAsia="等线(中文正文)"/>
          <w:b w:val="false"/>
          <w:i w:val="false"/>
          <w:sz w:val="20"/>
        </w:rPr>
        <w:t/>
      </w:r>
    </w:p>
    <w:p>
      <w:pPr>
        <w:pStyle w:val="ab"/>
      </w:pPr>
      <w:r>
        <w:t>发言人1 问：华邦2025年的财务特点是什么？</w:t>
      </w:r>
    </w:p>
    <w:p>
      <w:r>
        <w:rPr>
          <w:rFonts w:ascii="等线(中文正文)" w:hAnsi="等线(中文正文)" w:cs="等线(中文正文)" w:eastAsia="等线(中文正文)"/>
          <w:b w:val="false"/>
          <w:i w:val="false"/>
          <w:sz w:val="20"/>
        </w:rPr>
        <w:t>发言人1 答：2025年华邦的营业收入约为115亿，净利润为8个多亿，相比2024年的负3亿实现了显著提升。利润变动主要由三个原因导致：一是2025年商誉减值大幅减少至5000万左右，而2024年为7亿；二是农化新材料领域的银泰生物和凯盛新材在2025年经营利润减亏明显；三是医药业务保持稳定发展，尤其是医药板块为公司贡献了8.2亿的净利润，同比增长10%。</w:t>
      </w:r>
    </w:p>
    <w:p>
      <w:r>
        <w:rPr>
          <w:rFonts w:ascii="等线(中文正文)" w:hAnsi="等线(中文正文)" w:cs="等线(中文正文)" w:eastAsia="等线(中文正文)"/>
          <w:b w:val="false"/>
          <w:i w:val="false"/>
          <w:sz w:val="20"/>
        </w:rPr>
        <w:t/>
      </w:r>
    </w:p>
    <w:p>
      <w:pPr>
        <w:pStyle w:val="ab"/>
      </w:pPr>
      <w:r>
        <w:t>发言人1 问：华邦各业务板块的收入及利润情况如何？</w:t>
      </w:r>
    </w:p>
    <w:p>
      <w:r>
        <w:rPr>
          <w:rFonts w:ascii="等线(中文正文)" w:hAnsi="等线(中文正文)" w:cs="等线(中文正文)" w:eastAsia="等线(中文正文)"/>
          <w:b w:val="false"/>
          <w:i w:val="false"/>
          <w:sz w:val="20"/>
        </w:rPr>
        <w:t>发言人1 答：农化新材料业务收入约64亿，对华邦净利润的影响接近负7000万，这是由于该行业大规模、低毛利且周期性强的特点。医疗业务收入约4亿，虽然较2024年有所增亏，但整体仍处于成长期并保持稳定发展。旅游业务收入约10亿，对华邦净利润的影响持平。此外，华邦在财务方面表现出三个特点：一是财务状况良好，经营性现金流强劲，2025年创造了约20亿的经营性现金流；二是现金储备丰富，截至2026年Q1母公司有约15亿货币资金及交易性金融资产，合并报表接近50亿；三是商业解决风险已得到有效释放，商誉减值风险显著降低，资产质量提升，财务安全边际增强。同时，华邦自2018年以来坚持高比例分红政策，2025年分红尤为丰厚，股息率超过8%。</w:t>
      </w:r>
    </w:p>
    <w:p>
      <w:r>
        <w:rPr>
          <w:rFonts w:ascii="等线(中文正文)" w:hAnsi="等线(中文正文)" w:cs="等线(中文正文)" w:eastAsia="等线(中文正文)"/>
          <w:b w:val="false"/>
          <w:i w:val="false"/>
          <w:sz w:val="20"/>
        </w:rPr>
        <w:t/>
      </w:r>
    </w:p>
    <w:p>
      <w:pPr>
        <w:pStyle w:val="ab"/>
      </w:pPr>
      <w:r>
        <w:t>发言人1 问：华邦的股息率情况以及未来有何打算？</w:t>
      </w:r>
    </w:p>
    <w:p>
      <w:r>
        <w:rPr>
          <w:rFonts w:ascii="等线(中文正文)" w:hAnsi="等线(中文正文)" w:cs="等线(中文正文)" w:eastAsia="等线(中文正文)"/>
          <w:b w:val="false"/>
          <w:i w:val="false"/>
          <w:sz w:val="20"/>
        </w:rPr>
        <w:t>发言人1 答：华邦的股息率基本保持在4%到5%左右，公司管理层有意愿维持高比例分红，并且由于现金流良好，具备实施这一策略的基础。</w:t>
      </w:r>
    </w:p>
    <w:p>
      <w:r>
        <w:rPr>
          <w:rFonts w:ascii="等线(中文正文)" w:hAnsi="等线(中文正文)" w:cs="等线(中文正文)" w:eastAsia="等线(中文正文)"/>
          <w:b w:val="false"/>
          <w:i w:val="false"/>
          <w:sz w:val="20"/>
        </w:rPr>
        <w:t/>
      </w:r>
    </w:p>
    <w:p>
      <w:pPr>
        <w:pStyle w:val="ab"/>
      </w:pPr>
      <w:r>
        <w:t>发言人1 问：华邦在大健康领域的战略方向是什么？</w:t>
      </w:r>
    </w:p>
    <w:p>
      <w:r>
        <w:rPr>
          <w:rFonts w:ascii="等线(中文正文)" w:hAnsi="等线(中文正文)" w:cs="等线(中文正文)" w:eastAsia="等线(中文正文)"/>
          <w:b w:val="false"/>
          <w:i w:val="false"/>
          <w:sz w:val="20"/>
        </w:rPr>
        <w:t>发言人1 答：华邦的战略方向聚焦于大健康领域，包括医药、医疗和旅游等行业。同时，公司在农化新材料领域正在进行逐步减持，如银泰生物和凯盛新材持股比例已显著下降。</w:t>
      </w:r>
    </w:p>
    <w:p>
      <w:r>
        <w:rPr>
          <w:rFonts w:ascii="等线(中文正文)" w:hAnsi="等线(中文正文)" w:cs="等线(中文正文)" w:eastAsia="等线(中文正文)"/>
          <w:b w:val="false"/>
          <w:i w:val="false"/>
          <w:sz w:val="20"/>
        </w:rPr>
        <w:t/>
      </w:r>
    </w:p>
    <w:p>
      <w:pPr>
        <w:pStyle w:val="ab"/>
      </w:pPr>
      <w:r>
        <w:t>发言人1 问：华邦农化新材料业务减持的具体情况如何？</w:t>
      </w:r>
    </w:p>
    <w:p>
      <w:r>
        <w:rPr>
          <w:rFonts w:ascii="等线(中文正文)" w:hAnsi="等线(中文正文)" w:cs="等线(中文正文)" w:eastAsia="等线(中文正文)"/>
          <w:b w:val="false"/>
          <w:i w:val="false"/>
          <w:sz w:val="20"/>
        </w:rPr>
        <w:t>发言人1 答：截至2025年，银泰生物持股比例降至47.7%，凯盛新材持股比例降至28%。此外，在今年3月份，华邦对凯盛新材发行了9.6亿可交债，若六个月后可交债顺利交换，持股比例将进一步降至约20%。</w:t>
      </w:r>
    </w:p>
    <w:p>
      <w:r>
        <w:rPr>
          <w:rFonts w:ascii="等线(中文正文)" w:hAnsi="等线(中文正文)" w:cs="等线(中文正文)" w:eastAsia="等线(中文正文)"/>
          <w:b w:val="false"/>
          <w:i w:val="false"/>
          <w:sz w:val="20"/>
        </w:rPr>
        <w:t/>
      </w:r>
    </w:p>
    <w:p>
      <w:pPr>
        <w:pStyle w:val="ab"/>
      </w:pPr>
      <w:r>
        <w:t>发言人1 问：华邦医药业务的发展状况及特点是什么？</w:t>
      </w:r>
    </w:p>
    <w:p>
      <w:r>
        <w:rPr>
          <w:rFonts w:ascii="等线(中文正文)" w:hAnsi="等线(中文正文)" w:cs="等线(中文正文)" w:eastAsia="等线(中文正文)"/>
          <w:b w:val="false"/>
          <w:i w:val="false"/>
          <w:sz w:val="20"/>
        </w:rPr>
        <w:t>发言人1 答：华邦医药业务以化学仿制药为主，是国内皮肤领域品类最全的制药公司之一，拥有制剂相关的原料药自给自足能力。销售方面主要以自营为主、代理为辅，经营业绩良好，子公司均无银行借款，质地优良。在创新药领域，华邦参股了专注于CAR-T技术的普瑞金，持有13.2%股权。</w:t>
      </w:r>
    </w:p>
    <w:p>
      <w:r>
        <w:rPr>
          <w:rFonts w:ascii="等线(中文正文)" w:hAnsi="等线(中文正文)" w:cs="等线(中文正文)" w:eastAsia="等线(中文正文)"/>
          <w:b w:val="false"/>
          <w:i w:val="false"/>
          <w:sz w:val="20"/>
        </w:rPr>
        <w:t/>
      </w:r>
    </w:p>
    <w:p>
      <w:pPr>
        <w:pStyle w:val="ab"/>
      </w:pPr>
      <w:r>
        <w:t>发言人1 问：华邦医疗业务的布局和发展情况如何？华邦在健康及长寿医疗方面的具体项目进展怎样？</w:t>
      </w:r>
    </w:p>
    <w:p>
      <w:r>
        <w:rPr>
          <w:rFonts w:ascii="等线(中文正文)" w:hAnsi="等线(中文正文)" w:cs="等线(中文正文)" w:eastAsia="等线(中文正文)"/>
          <w:b w:val="false"/>
          <w:i w:val="false"/>
          <w:sz w:val="20"/>
        </w:rPr>
        <w:t>发言人1 答：华邦医疗业务已构建起涵盖基础医疗、康复医疗及健康长寿医疗的多层次业务生态。其中，基础医疗部分有重庆中山医院；康复医疗方面，华生康复医院成为北京康复领域的第一梯队；健康及长寿业务是未来重点发展方向，并已落地实体健康及长寿医疗机构。华邦在健康及长寿医疗板块已落地两个实体医疗机构，并与全球抗衰领域知名人物Brand进行独家合作，推出博瑞蓝图抗衰品牌。华邦认为健康需要被有效管理，并将围绕这一方向继续探索相关业务。</w:t>
      </w:r>
    </w:p>
    <w:p>
      <w:r>
        <w:rPr>
          <w:rFonts w:ascii="等线(中文正文)" w:hAnsi="等线(中文正文)" w:cs="等线(中文正文)" w:eastAsia="等线(中文正文)"/>
          <w:b w:val="false"/>
          <w:i w:val="false"/>
          <w:sz w:val="20"/>
        </w:rPr>
        <w:t/>
      </w:r>
    </w:p>
    <w:p>
      <w:pPr>
        <w:pStyle w:val="ab"/>
      </w:pPr>
      <w:r>
        <w:t>发言人1 问：华邦旅游资源的分布和特色是什么？</w:t>
      </w:r>
    </w:p>
    <w:p>
      <w:r>
        <w:rPr>
          <w:rFonts w:ascii="等线(中文正文)" w:hAnsi="等线(中文正文)" w:cs="等线(中文正文)" w:eastAsia="等线(中文正文)"/>
          <w:b w:val="false"/>
          <w:i w:val="false"/>
          <w:sz w:val="20"/>
        </w:rPr>
        <w:t>发言人1 答：华邦旅游资源丰富，涉及5A级景区如丽江股份、秦岭太白山景区、广西崇左的德天跨国大瀑布和明仕田园度假景区等。旅游资源具有稀缺性，且以索道运输和独家公交车运营为主，具有较高的投资价值。</w:t>
      </w:r>
    </w:p>
    <w:p>
      <w:r>
        <w:rPr>
          <w:rFonts w:ascii="等线(中文正文)" w:hAnsi="等线(中文正文)" w:cs="等线(中文正文)" w:eastAsia="等线(中文正文)"/>
          <w:b w:val="false"/>
          <w:i w:val="false"/>
          <w:sz w:val="20"/>
        </w:rPr>
        <w:t/>
      </w:r>
    </w:p>
    <w:p>
      <w:pPr>
        <w:pStyle w:val="ab"/>
      </w:pPr>
      <w:r>
        <w:t>发言人1 问：华邦整体价值评估及其当前估值状态如何？</w:t>
      </w:r>
    </w:p>
    <w:p>
      <w:r>
        <w:rPr>
          <w:rFonts w:ascii="等线(中文正文)" w:hAnsi="等线(中文正文)" w:cs="等线(中文正文)" w:eastAsia="等线(中文正文)"/>
          <w:b w:val="false"/>
          <w:i w:val="false"/>
          <w:sz w:val="20"/>
        </w:rPr>
        <w:t>发言人1 答：目前华邦市值约100亿，若只看优质医药资源，其PE估值不到15倍，对应8亿净利润，为国内龙头药企，现金流健康。此外，还有三家上市公司股权价值接近55亿，以及非常稀缺的旅游资源和大量现金储备，整体估值较低，且业绩有现金流支撑，旗下资产实力强劲，同时有高分红历史。</w:t>
      </w:r>
    </w:p>
    <w:p>
      <w:r>
        <w:rPr>
          <w:rFonts w:ascii="等线(中文正文)" w:hAnsi="等线(中文正文)" w:cs="等线(中文正文)" w:eastAsia="等线(中文正文)"/>
          <w:b w:val="false"/>
          <w:i w:val="false"/>
          <w:sz w:val="20"/>
        </w:rPr>
        <w:t/>
      </w:r>
    </w:p>
    <w:p>
      <w:pPr>
        <w:pStyle w:val="ab"/>
      </w:pPr>
      <w:r>
        <w:t>发言人1 问：在康复领域，华山康复医院和嵩山医院有何联动？此外，公司在健康长寿领域的整合情况如何？</w:t>
      </w:r>
    </w:p>
    <w:p>
      <w:r>
        <w:rPr>
          <w:rFonts w:ascii="等线(中文正文)" w:hAnsi="等线(中文正文)" w:cs="等线(中文正文)" w:eastAsia="等线(中文正文)"/>
          <w:b w:val="false"/>
          <w:i w:val="false"/>
          <w:sz w:val="20"/>
        </w:rPr>
        <w:t>发言人1 答：目前，华山康复医院和嵩山医院在康复相关专业上已有所联动，并与基础医疗和康复医疗、长寿健康领域进行了紧密对接。两家医疗机构都设有长寿门诊，客户可以在北京的华盛康复医院或巴塞尔铂睿蓝图诊所进行健康管理。同时，公司在健康长寿管理方面融合了欧洲自然疗法、功能医学以及前沿的长寿抗衰业务，旨在为中国人提供科学且具有体验感的指导方式。</w:t>
      </w:r>
    </w:p>
    <w:p>
      <w:r>
        <w:rPr>
          <w:rFonts w:ascii="等线(中文正文)" w:hAnsi="等线(中文正文)" w:cs="等线(中文正文)" w:eastAsia="等线(中文正文)"/>
          <w:b w:val="false"/>
          <w:i w:val="false"/>
          <w:sz w:val="20"/>
        </w:rPr>
        <w:t/>
      </w:r>
    </w:p>
    <w:p>
      <w:pPr>
        <w:pStyle w:val="ab"/>
      </w:pPr>
      <w:r>
        <w:t>发言人1 问：华邦健康对于今年长寿板块的规划和业务展望是怎样的？</w:t>
      </w:r>
    </w:p>
    <w:p>
      <w:r>
        <w:rPr>
          <w:rFonts w:ascii="等线(中文正文)" w:hAnsi="等线(中文正文)" w:cs="等线(中文正文)" w:eastAsia="等线(中文正文)"/>
          <w:b w:val="false"/>
          <w:i w:val="false"/>
          <w:sz w:val="20"/>
        </w:rPr>
        <w:t>发言人1 答：华邦健康今年在长寿板块方面保持中游策略，以具体服务端落地和实体机构为主导，目前运营有重庆和北京两家诊所，并初步探索健康产品领域。对于未来，公司将等待重庆和北京模式运行稳定后再考虑连锁扩展。同时，华邦健康欢迎更多机构进入长寿健康领域，共同促进市场教育和行业发展。</w:t>
      </w:r>
    </w:p>
    <w:p>
      <w:r>
        <w:rPr>
          <w:rFonts w:ascii="等线(中文正文)" w:hAnsi="等线(中文正文)" w:cs="等线(中文正文)" w:eastAsia="等线(中文正文)"/>
          <w:b w:val="false"/>
          <w:i w:val="false"/>
          <w:sz w:val="20"/>
        </w:rPr>
        <w:t/>
      </w:r>
    </w:p>
    <w:p>
      <w:pPr>
        <w:pStyle w:val="ab"/>
      </w:pPr>
      <w:r>
        <w:t>发言人1 问：一季度公司的分业务板块情况如何？</w:t>
      </w:r>
    </w:p>
    <w:p>
      <w:r>
        <w:rPr>
          <w:rFonts w:ascii="等线(中文正文)" w:hAnsi="等线(中文正文)" w:cs="等线(中文正文)" w:eastAsia="等线(中文正文)"/>
          <w:b w:val="false"/>
          <w:i w:val="false"/>
          <w:sz w:val="20"/>
        </w:rPr>
        <w:t>发言人1 答：一季度华邦整体营业收入与去年相当，但净利润下滑约15%至16%，减少近3000万。这一下滑主要受汇率影响，汇兑损益对华邦净利润的影响约为两千多万。此外，重庆店在第一个完整经营年度实现盈亏平衡，2025年收入3000万，净利润约为10%；而北京店于同年7月份开业，仅运营半年就创造了接近1000万的收入。</w:t>
      </w:r>
    </w:p>
    <w:p>
      <w:r>
        <w:rPr>
          <w:rFonts w:ascii="等线(中文正文)" w:hAnsi="等线(中文正文)" w:cs="等线(中文正文)" w:eastAsia="等线(中文正文)"/>
          <w:b w:val="false"/>
          <w:i w:val="false"/>
          <w:sz w:val="20"/>
        </w:rPr>
        <w:t/>
      </w:r>
    </w:p>
    <w:p>
      <w:pPr>
        <w:pStyle w:val="ab"/>
      </w:pPr>
      <w:r>
        <w:t>发言人1 问：我们公司现在健康和长寿医疗业务的布局和发展情况如何？能否再详细介绍一下整体架构？医疗业务方面的生态布局以及嵩山项目的运营状况如何？</w:t>
      </w:r>
    </w:p>
    <w:p>
      <w:r>
        <w:rPr>
          <w:rFonts w:ascii="等线(中文正文)" w:hAnsi="等线(中文正文)" w:cs="等线(中文正文)" w:eastAsia="等线(中文正文)"/>
          <w:b w:val="false"/>
          <w:i w:val="false"/>
          <w:sz w:val="20"/>
        </w:rPr>
        <w:t>发言人1 答：我们的长寿业务是公司较新的业态，目前处于萌芽状态但发展迅速。我们已在两个地方落地了医疗机构，一个是北京，另一个是重庆。此外，我们与BJ合作推出了博瑞蓝图品牌，并通过合资成立的东大asia公司（华邦占50%）来运营这个品牌。这个平台公司主要负责两块业务：一是代理BJ在美国亚洲销售的bw print品牌；二是收取6%的品牌使用费授权出去。目前，长寿相关的布局主要包括这两方面。在基础医疗方面，我们出资建设了重庆松山医院，虽然暂时未并入华邦报表，但我们派驻了管理人员并收取管理费及租金。重庆松山医院自2020年4月开业以来发展迅速，预计到2025年收入将达到约7亿，且经营性现金流已于2025年转正，但由于投资回收期较长，目前尚未盈利。另外，康复医疗部分以北京华生康复医院为主，这是一家三级专科医院，专注于康复治疗，床位数从2025年前的300张扩展至457张，收入达到2亿左右，经营性现金流在2024年已为正，具备良好的持续发展能力。</w:t>
      </w:r>
    </w:p>
    <w:p>
      <w:r>
        <w:rPr>
          <w:rFonts w:ascii="等线(中文正文)" w:hAnsi="等线(中文正文)" w:cs="等线(中文正文)" w:eastAsia="等线(中文正文)"/>
          <w:b w:val="false"/>
          <w:i w:val="false"/>
          <w:sz w:val="20"/>
        </w:rPr>
        <w:t/>
      </w:r>
    </w:p>
    <w:p>
      <w:pPr>
        <w:pStyle w:val="ab"/>
      </w:pPr>
      <w:r>
        <w:t>发言人1 问：对于皮肤科业务，今明两年的收入和利润展望是怎样的？</w:t>
      </w:r>
    </w:p>
    <w:p>
      <w:r>
        <w:rPr>
          <w:rFonts w:ascii="等线(中文正文)" w:hAnsi="等线(中文正文)" w:cs="等线(中文正文)" w:eastAsia="等线(中文正文)"/>
          <w:b w:val="false"/>
          <w:i w:val="false"/>
          <w:sz w:val="20"/>
        </w:rPr>
        <w:t>发言人1 答：皮肤科领域是一个成熟稳健的市场，华邦在该领域以产品矩阵形式布局。短期来看，由于皮肤药价格较低且外用制剂一致性评价路径尚未达成，被国家集采的可能性较小。同时，华邦将持续拓展零售端市场，预计未来皮肤科业务将保持稳定发展。</w:t>
      </w:r>
    </w:p>
    <w:p>
      <w:r>
        <w:rPr>
          <w:rFonts w:ascii="等线(中文正文)" w:hAnsi="等线(中文正文)" w:cs="等线(中文正文)" w:eastAsia="等线(中文正文)"/>
          <w:b w:val="false"/>
          <w:i w:val="false"/>
          <w:sz w:val="20"/>
        </w:rPr>
        <w:t/>
      </w:r>
    </w:p>
    <w:p>
      <w:pPr>
        <w:pStyle w:val="ab"/>
      </w:pPr>
      <w:r>
        <w:t>发言人1 问：农化新材料这边的持股比例调整以及今年的出表节奏是怎样的？</w:t>
      </w:r>
    </w:p>
    <w:p>
      <w:r>
        <w:rPr>
          <w:rFonts w:ascii="等线(中文正文)" w:hAnsi="等线(中文正文)" w:cs="等线(中文正文)" w:eastAsia="等线(中文正文)"/>
          <w:b w:val="false"/>
          <w:i w:val="false"/>
          <w:sz w:val="20"/>
        </w:rPr>
        <w:t>发言人1 答：农化新材料部分的持股比例调整还在进行中，今年的可交债交换期将在六个月后进行，如果届时能够顺利完成换股，出表节奏将更为清晰。当前的前提条件是可交债交换的完成情况。</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2026-05-05T15:20:12Z</dcterms:created>
  <dc:creator>Apache POI</dc:creator>
</cp:coreProperties>
</file>