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华创宏观 - 油价高波下的国内政策与美联储行为- 张瑜旬度交流思考第138期 260505_导读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平稳 确定性 政策 经济转型 美联储 通胀预期 降息 鲍威尔 PMI 供需 就业 价格 出口 AI 服务业 信息业 高质量发展 资本市场信心 中游 毛利率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面对油价高波动的背景下，国内政策会议聚焦于维护政策的稳定性和确定性，强调即便在经济转型中遭遇分化和不确定性，主要政策方向仍保持不变。政策实施的重点转向确保已有政策的有效落实。同时，对话深入探讨了美联储的政策框架及其对全球流动性的影响，特别是美联储主席的政策立场和对通胀的衡量，倾向于使用PCE通胀率作为参考。讨论还涵盖了全球投资趋势，如美债动态、全球风险偏好变化、欧洲银行板块的估值调整、美股波动率的定价机制、欧洲能源市场的波动性、油价与加元的脱钩现象，以及实际利率对A股估值的调控作用，最后触及了日元的极端做空交易情况，全面反映了国际金融市场在油价波动影响下的复杂动态和各国政策应对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油价高波动下国内外政策研判</w:t>
      </w:r>
    </w:p>
    <w:p>
      <w:r>
        <w:rPr>
          <w:rFonts w:ascii="等线(中文正文)" w:hAnsi="等线(中文正文)" w:cs="等线(中文正文)" w:eastAsia="等线(中文正文)"/>
          <w:b w:val="false"/>
          <w:i w:val="false"/>
          <w:sz w:val="20"/>
        </w:rPr>
        <w:t>对话围绕油价高波动背景下的国内外政策展开，重点分析了国内四月政治局会议的政策取向，强调平稳与确定性，认为政策未有重大超预期变化。同时，对美联储行为的理解框架进行了探讨，指出国内政策顺应经济转型，侧重于托底防风险及支持强项领域，预计下半年政策变动可能性不高。</w:t>
      </w:r>
    </w:p>
    <w:p>
      <w:r>
        <w:rPr>
          <w:rFonts w:ascii="等线(中文正文)" w:hAnsi="等线(中文正文)" w:cs="等线(中文正文)" w:eastAsia="等线(中文正文)"/>
          <w:b w:val="false"/>
          <w:i w:val="false"/>
          <w:sz w:val="20"/>
        </w:rPr>
        <w:t/>
      </w:r>
    </w:p>
    <w:p>
      <w:pPr>
        <w:pStyle w:val="ab"/>
        <w:numPr>
          <w:numId w:val="2"/>
        </w:numPr>
      </w:pPr>
      <w:r>
        <w:t>04:27 美联储策略分析：鸽派转向与降息预期</w:t>
      </w:r>
    </w:p>
    <w:p>
      <w:r>
        <w:rPr>
          <w:rFonts w:ascii="等线(中文正文)" w:hAnsi="等线(中文正文)" w:cs="等线(中文正文)" w:eastAsia="等线(中文正文)"/>
          <w:b w:val="false"/>
          <w:i w:val="false"/>
          <w:sz w:val="20"/>
        </w:rPr>
        <w:t>讨论了美联储在债务可持续与大国竞争背景下的战略方向，指出维持偏低利率的重要性。分析了中产通胀预期稳定为宽松政策提供基础，提出平均PCE通胀率作为新逻辑支撑，并预计鲍威尔卸任后美联储将转为鸽派，支持中期降息。</w:t>
      </w:r>
    </w:p>
    <w:p>
      <w:r>
        <w:rPr>
          <w:rFonts w:ascii="等线(中文正文)" w:hAnsi="等线(中文正文)" w:cs="等线(中文正文)" w:eastAsia="等线(中文正文)"/>
          <w:b w:val="false"/>
          <w:i w:val="false"/>
          <w:sz w:val="20"/>
        </w:rPr>
        <w:t/>
      </w:r>
    </w:p>
    <w:p>
      <w:pPr>
        <w:pStyle w:val="ab"/>
        <w:numPr>
          <w:numId w:val="3"/>
        </w:numPr>
      </w:pPr>
      <w:r>
        <w:t>11:18 PMI数据揭示国内经济供需矛盾改善及结构分化</w:t>
      </w:r>
    </w:p>
    <w:p>
      <w:r>
        <w:rPr>
          <w:rFonts w:ascii="等线(中文正文)" w:hAnsi="等线(中文正文)" w:cs="等线(中文正文)" w:eastAsia="等线(中文正文)"/>
          <w:b w:val="false"/>
          <w:i w:val="false"/>
          <w:sz w:val="20"/>
        </w:rPr>
        <w:t>对话重点分析了PMI数据，指出国内经济供需矛盾在多个维度得到改善，尤其是中游制造业景气度显著提升，但上游和下游存在量价分化，整体经济结构出现明显分化。</w:t>
      </w:r>
    </w:p>
    <w:p>
      <w:r>
        <w:rPr>
          <w:rFonts w:ascii="等线(中文正文)" w:hAnsi="等线(中文正文)" w:cs="等线(中文正文)" w:eastAsia="等线(中文正文)"/>
          <w:b w:val="false"/>
          <w:i w:val="false"/>
          <w:sz w:val="20"/>
        </w:rPr>
        <w:t/>
      </w:r>
    </w:p>
    <w:p>
      <w:pPr>
        <w:pStyle w:val="ab"/>
        <w:numPr>
          <w:numId w:val="4"/>
        </w:numPr>
      </w:pPr>
      <w:r>
        <w:t>16:15 高油价下毛利率变化与中游经济景气度分析</w:t>
      </w:r>
    </w:p>
    <w:p>
      <w:r>
        <w:rPr>
          <w:rFonts w:ascii="等线(中文正文)" w:hAnsi="等线(中文正文)" w:cs="等线(中文正文)" w:eastAsia="等线(中文正文)"/>
          <w:b w:val="false"/>
          <w:i w:val="false"/>
          <w:sz w:val="20"/>
        </w:rPr>
        <w:t>对话讨论了在高油价背景下，上游、中游和下游行业的毛利率变化情况。上游毛利率改善，中游毛利率向好且景气度全面，下游毛利率持平但利润率下降，电力行业毛利率略有下滑。总体上，上游和中游行业毛利率表现较好，宏观层面重点关注中游经济体系。随后将详细探讨美联储通胀指标问题。</w:t>
      </w:r>
    </w:p>
    <w:p>
      <w:r>
        <w:rPr>
          <w:rFonts w:ascii="等线(中文正文)" w:hAnsi="等线(中文正文)" w:cs="等线(中文正文)" w:eastAsia="等线(中文正文)"/>
          <w:b w:val="false"/>
          <w:i w:val="false"/>
          <w:sz w:val="20"/>
        </w:rPr>
        <w:t/>
      </w:r>
    </w:p>
    <w:p>
      <w:pPr>
        <w:pStyle w:val="ab"/>
        <w:numPr>
          <w:numId w:val="5"/>
        </w:numPr>
      </w:pPr>
      <w:r>
        <w:t>17:54 通胀衡量指标分析与政策利率指引</w:t>
      </w:r>
    </w:p>
    <w:p>
      <w:r>
        <w:rPr>
          <w:rFonts w:ascii="等线(中文正文)" w:hAnsi="等线(中文正文)" w:cs="等线(中文正文)" w:eastAsia="等线(中文正文)"/>
          <w:b w:val="false"/>
          <w:i w:val="false"/>
          <w:sz w:val="20"/>
        </w:rPr>
        <w:t>讨论了通胀衡量指标的差异，重点分析了PCE价格指数及其变体，如结尾平均和中位数PCE通胀率，以及它们对政策利率的指引作用。此外，提到了市场对CPI的偏好，尽管PCE更受美联储青睐。最后，分析了不同通胀指标对政策利率的影响，指出使用结尾平均PCE通胀率可能指向降息方向。</w:t>
      </w:r>
    </w:p>
    <w:p>
      <w:r>
        <w:rPr>
          <w:rFonts w:ascii="等线(中文正文)" w:hAnsi="等线(中文正文)" w:cs="等线(中文正文)" w:eastAsia="等线(中文正文)"/>
          <w:b w:val="false"/>
          <w:i w:val="false"/>
          <w:sz w:val="20"/>
        </w:rPr>
        <w:t/>
      </w:r>
    </w:p>
    <w:p>
      <w:pPr>
        <w:pStyle w:val="ab"/>
        <w:numPr>
          <w:numId w:val="6"/>
        </w:numPr>
      </w:pPr>
      <w:r>
        <w:t>24:44 央企利润上缴比例调整解析</w:t>
      </w:r>
    </w:p>
    <w:p>
      <w:r>
        <w:rPr>
          <w:rFonts w:ascii="等线(中文正文)" w:hAnsi="等线(中文正文)" w:cs="等线(中文正文)" w:eastAsia="等线(中文正文)"/>
          <w:b w:val="false"/>
          <w:i w:val="false"/>
          <w:sz w:val="20"/>
        </w:rPr>
        <w:t>对话围绕央企利润上缴比例调整的三大误解进行了解析，指出调整并非在3月24日财政部发文时进行，而是去年11至12月间；调整不涉及金融央企，仅影响实体央企；且央企利润上缴比例提升不会直接导致上市公司现金分红比例线性增加，但长期看可能促进分红提升。</w:t>
      </w:r>
    </w:p>
    <w:p>
      <w:r>
        <w:rPr>
          <w:rFonts w:ascii="等线(中文正文)" w:hAnsi="等线(中文正文)" w:cs="等线(中文正文)" w:eastAsia="等线(中文正文)"/>
          <w:b w:val="false"/>
          <w:i w:val="false"/>
          <w:sz w:val="20"/>
        </w:rPr>
        <w:t/>
      </w:r>
    </w:p>
    <w:p>
      <w:pPr>
        <w:pStyle w:val="ab"/>
        <w:numPr>
          <w:numId w:val="7"/>
        </w:numPr>
      </w:pPr>
      <w:r>
        <w:t>32:29 四月全球投资十大主线解析</w:t>
      </w:r>
    </w:p>
    <w:p>
      <w:r>
        <w:rPr>
          <w:rFonts w:ascii="等线(中文正文)" w:hAnsi="等线(中文正文)" w:cs="等线(中文正文)" w:eastAsia="等线(中文正文)"/>
          <w:b w:val="false"/>
          <w:i w:val="false"/>
          <w:sz w:val="20"/>
        </w:rPr>
        <w:t>汇报了四月全球投资十大主线，包括美债期限衍生品对利率上行风险的定价、全球风险偏好抬升下资金流向权益资产、VX指数与美国经济政策不确定性指数的脱钩现象、降息预期退潮后收益率曲线陡峭化共识瓦解、高息预期驱动欧洲银行盈利估值共振、美股定价逻辑转向波动率定价。</w:t>
      </w:r>
    </w:p>
    <w:p>
      <w:r>
        <w:rPr>
          <w:rFonts w:ascii="等线(中文正文)" w:hAnsi="等线(中文正文)" w:cs="等线(中文正文)" w:eastAsia="等线(中文正文)"/>
          <w:b w:val="false"/>
          <w:i w:val="false"/>
          <w:sz w:val="20"/>
        </w:rPr>
        <w:t/>
      </w:r>
    </w:p>
    <w:p>
      <w:pPr>
        <w:pStyle w:val="ab"/>
        <w:numPr>
          <w:numId w:val="8"/>
        </w:numPr>
      </w:pPr>
      <w:r>
        <w:t>37:58 全球投资十大主线解析：能源波动、货币逻辑与利率影响</w:t>
      </w:r>
    </w:p>
    <w:p>
      <w:r>
        <w:rPr>
          <w:rFonts w:ascii="等线(中文正文)" w:hAnsi="等线(中文正文)" w:cs="等线(中文正文)" w:eastAsia="等线(中文正文)"/>
          <w:b w:val="false"/>
          <w:i w:val="false"/>
          <w:sz w:val="20"/>
        </w:rPr>
        <w:t>讨论了欧洲能源波动率倒挂、石油货币逻辑变化及实际利率对A股估值的影响等全球投资趋势，指出地缘政治、产业结构调整和利率变动对金融市场的重要作用，以及市场干预对汇率走势的潜在影响。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讨论了两个关键议题：一是油价高波动对国内政策的影响，以及政治局会议如何理解这些影响；二是美联储在高油价波动下的政策行为框架。在油价高波动下，政治局会议强调了政策的“平稳”与“确定性”，突出了保持既定政策稳定性和灵活应对不确定性的重点。这反映了当前经济转型期的政策规律，兼顾了经济的长期趋势与短期出口表现的影响。针对美联储，他提出了“事实指标人事战略”框架，认为美联储维持低利率策略旨在应对债务问题和大国竞争，尽管市场对通胀看法分歧，但倾向于降息以应对经济挑战。此外，他还概述了全球投资的十大主线，涉及美债市场、全球风险偏好、欧洲银行业发展、美股波动、欧洲能源市场、石油货币逻辑、A股估值及日元交易趋势，强调这些趋势对投资者的重大影响。</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问：在油价高波动背景下，四月的政治局会议如何对国内政策做出理解？</w:t>
      </w:r>
    </w:p>
    <w:p>
      <w:r>
        <w:rPr>
          <w:rFonts w:ascii="等线(中文正文)" w:hAnsi="等线(中文正文)" w:cs="等线(中文正文)" w:eastAsia="等线(中文正文)"/>
          <w:b w:val="false"/>
          <w:i w:val="false"/>
          <w:sz w:val="20"/>
        </w:rPr>
        <w:t>发言人1 答：在油价高波动情况下，政治局四月份的会议总结为“平稳”和“确定性”。主要表现为三个方面：一是政策取向的重要表述基本保持不变；二是稳政策落实上，主要是既有政策的延续，细节变化不大；三是政策更加顺势而为，以确定性应对不确定性，这一思路从去年一直贯彻至今。</w:t>
      </w:r>
    </w:p>
    <w:p>
      <w:r>
        <w:rPr>
          <w:rFonts w:ascii="等线(中文正文)" w:hAnsi="等线(中文正文)" w:cs="等线(中文正文)" w:eastAsia="等线(中文正文)"/>
          <w:b w:val="false"/>
          <w:i w:val="false"/>
          <w:sz w:val="20"/>
        </w:rPr>
        <w:t/>
      </w:r>
    </w:p>
    <w:p>
      <w:pPr>
        <w:pStyle w:val="ab"/>
      </w:pPr>
      <w:r>
        <w:t>发言人1 问：对于二季度的政策预期，有何判断？</w:t>
      </w:r>
    </w:p>
    <w:p>
      <w:r>
        <w:rPr>
          <w:rFonts w:ascii="等线(中文正文)" w:hAnsi="等线(中文正文)" w:cs="等线(中文正文)" w:eastAsia="等线(中文正文)"/>
          <w:b w:val="false"/>
          <w:i w:val="false"/>
          <w:sz w:val="20"/>
        </w:rPr>
        <w:t>发言人1 答：二季度经济运行整体较为满意，政策没有做特别大的增量变化。稳政策方面主要是落实已有的政策，而非强调新的增量政策储备。政策重点在于顺应经济转型，对分化领域进行托底防风险，并对新动能、人工智能发展、服务消费及资本市场稳定等方面给予支持和呵护。</w:t>
      </w:r>
    </w:p>
    <w:p>
      <w:r>
        <w:rPr>
          <w:rFonts w:ascii="等线(中文正文)" w:hAnsi="等线(中文正文)" w:cs="等线(中文正文)" w:eastAsia="等线(中文正文)"/>
          <w:b w:val="false"/>
          <w:i w:val="false"/>
          <w:sz w:val="20"/>
        </w:rPr>
        <w:t/>
      </w:r>
    </w:p>
    <w:p>
      <w:pPr>
        <w:pStyle w:val="ab"/>
      </w:pPr>
      <w:r>
        <w:t>发言人1 问：在当前经济状态下，政策应该如何把握？</w:t>
      </w:r>
    </w:p>
    <w:p>
      <w:r>
        <w:rPr>
          <w:rFonts w:ascii="等线(中文正文)" w:hAnsi="等线(中文正文)" w:cs="等线(中文正文)" w:eastAsia="等线(中文正文)"/>
          <w:b w:val="false"/>
          <w:i w:val="false"/>
          <w:sz w:val="20"/>
        </w:rPr>
        <w:t>发言人1 答：长期来看，经济转型期已经度过最艰难阶段，资本市场向好及经济数据回升表明政策应从过去的大幅波动转向稳定状态。短期而言，出口较好的情况下，国内逆周期政策出台的概率较低，因此政策规律上需要一个相对平稳的状态来适应当前经济状态，符合对政策把握的常规规律，不存在特别大的超预期变化。</w:t>
      </w:r>
    </w:p>
    <w:p>
      <w:r>
        <w:rPr>
          <w:rFonts w:ascii="等线(中文正文)" w:hAnsi="等线(中文正文)" w:cs="等线(中文正文)" w:eastAsia="等线(中文正文)"/>
          <w:b w:val="false"/>
          <w:i w:val="false"/>
          <w:sz w:val="20"/>
        </w:rPr>
        <w:t/>
      </w:r>
    </w:p>
    <w:p>
      <w:pPr>
        <w:pStyle w:val="ab"/>
      </w:pPr>
      <w:r>
        <w:t>发言人1 问：如何看待美联储在高油价波动背景下的行为理解？</w:t>
      </w:r>
    </w:p>
    <w:p>
      <w:r>
        <w:rPr>
          <w:rFonts w:ascii="等线(中文正文)" w:hAnsi="等线(中文正文)" w:cs="等线(中文正文)" w:eastAsia="等线(中文正文)"/>
          <w:b w:val="false"/>
          <w:i w:val="false"/>
          <w:sz w:val="20"/>
        </w:rPr>
        <w:t>发言人1 答：美联储面临鲍威尔主席任期结束、油价波动对美国通胀影响分歧等问题。我们采用“事实-指标-战略”框架理解美联储思维。从战略角度看，美联储在债务可持续性和大国竞争背景下，倾向于锁定偏低利率的中长期方向，以降低债务率。然而，在全球秩序不确定性和大国竞争加剧的当下，财政盈余难以实现，维持偏低利率成为无法有效化债背景下的必然选择。落实这一战略时，美联储将关注短期经济问题，以事实为基础，通过指标补充逻辑，借助人事安排达成“人和治人和”的状态。</w:t>
      </w:r>
    </w:p>
    <w:p>
      <w:r>
        <w:rPr>
          <w:rFonts w:ascii="等线(中文正文)" w:hAnsi="等线(中文正文)" w:cs="等线(中文正文)" w:eastAsia="等线(中文正文)"/>
          <w:b w:val="false"/>
          <w:i w:val="false"/>
          <w:sz w:val="20"/>
        </w:rPr>
        <w:t/>
      </w:r>
    </w:p>
    <w:p>
      <w:pPr>
        <w:pStyle w:val="ab"/>
      </w:pPr>
      <w:r>
        <w:t>发言人1 问：中东冲突持续两个月，但美国中产通胀预期为何依然稳定？</w:t>
      </w:r>
    </w:p>
    <w:p>
      <w:r>
        <w:rPr>
          <w:rFonts w:ascii="等线(中文正文)" w:hAnsi="等线(中文正文)" w:cs="等线(中文正文)" w:eastAsia="等线(中文正文)"/>
          <w:b w:val="false"/>
          <w:i w:val="false"/>
          <w:sz w:val="20"/>
        </w:rPr>
        <w:t>发言人1 答：美国中长期通胀预期保持稳定，这是美国能够进行短期宽松政策的核心条件。虽然短期通胀预期有所波动并上升，但五年以上的中长期通胀预期是稳定的。这意味着通过降息等政策手段，可以弥补因短期经济压力（如关税导致的通胀上升）而产生的成本损失。</w:t>
      </w:r>
    </w:p>
    <w:p>
      <w:r>
        <w:rPr>
          <w:rFonts w:ascii="等线(中文正文)" w:hAnsi="等线(中文正文)" w:cs="等线(中文正文)" w:eastAsia="等线(中文正文)"/>
          <w:b w:val="false"/>
          <w:i w:val="false"/>
          <w:sz w:val="20"/>
        </w:rPr>
        <w:t/>
      </w:r>
    </w:p>
    <w:p>
      <w:pPr>
        <w:pStyle w:val="ab"/>
      </w:pPr>
      <w:r>
        <w:t>发言人1 问：美联储是否计划改变通胀衡量指标？</w:t>
      </w:r>
    </w:p>
    <w:p>
      <w:r>
        <w:rPr>
          <w:rFonts w:ascii="等线(中文正文)" w:hAnsi="等线(中文正文)" w:cs="等线(中文正文)" w:eastAsia="等线(中文正文)"/>
          <w:b w:val="false"/>
          <w:i w:val="false"/>
          <w:sz w:val="20"/>
        </w:rPr>
        <w:t>发言人1 答：美联储目前倾向于关注平均PCE通胀率，并通过去掉极端值来计算一个更平均的读数，这样可以使通胀数据相比现有PCE读数降低0.5到1个百分点。如果采用这种方法，实际上不需要正式更改通胀衡量标准，只需反复强调并在预期指引中体现，就能让市场接受并理解美国的PCE通胀率是美联储的官方衡量目标，从而为未来宽松政策提供逻辑支持。</w:t>
      </w:r>
    </w:p>
    <w:p>
      <w:r>
        <w:rPr>
          <w:rFonts w:ascii="等线(中文正文)" w:hAnsi="等线(中文正文)" w:cs="等线(中文正文)" w:eastAsia="等线(中文正文)"/>
          <w:b w:val="false"/>
          <w:i w:val="false"/>
          <w:sz w:val="20"/>
        </w:rPr>
        <w:t/>
      </w:r>
    </w:p>
    <w:p>
      <w:pPr>
        <w:pStyle w:val="ab"/>
      </w:pPr>
      <w:r>
        <w:t>发言人1 问：鲍威尔卸任后，新FMC对美联储政策立场有何影响？</w:t>
      </w:r>
    </w:p>
    <w:p>
      <w:r>
        <w:rPr>
          <w:rFonts w:ascii="等线(中文正文)" w:hAnsi="等线(中文正文)" w:cs="等线(中文正文)" w:eastAsia="等线(中文正文)"/>
          <w:b w:val="false"/>
          <w:i w:val="false"/>
          <w:sz w:val="20"/>
        </w:rPr>
        <w:t>发言人1 答：鲍威尔卸任主席后仍会留任理事，如果按照规定程序，由米兰接任并替换其他成员，新FMC将逐渐转向鸽派立场。因为不能从外部任命新主席，所以只要鲍威尔卸任且由鸽派成员接任，新FMC的立场就会明确转鸽，这将对美联储的政策方向产生实质影响，即中期宽松和降息具备坚实的支撑。</w:t>
      </w:r>
    </w:p>
    <w:p>
      <w:r>
        <w:rPr>
          <w:rFonts w:ascii="等线(中文正文)" w:hAnsi="等线(中文正文)" w:cs="等线(中文正文)" w:eastAsia="等线(中文正文)"/>
          <w:b w:val="false"/>
          <w:i w:val="false"/>
          <w:sz w:val="20"/>
        </w:rPr>
        <w:t/>
      </w:r>
    </w:p>
    <w:p>
      <w:pPr>
        <w:pStyle w:val="ab"/>
      </w:pPr>
      <w:r>
        <w:t>发言人1 问：最新的PMI数据反映出哪些关于供需矛盾改善的信息？</w:t>
      </w:r>
    </w:p>
    <w:p>
      <w:r>
        <w:rPr>
          <w:rFonts w:ascii="等线(中文正文)" w:hAnsi="等线(中文正文)" w:cs="等线(中文正文)" w:eastAsia="等线(中文正文)"/>
          <w:b w:val="false"/>
          <w:i w:val="false"/>
          <w:sz w:val="20"/>
        </w:rPr>
        <w:t>发言人1 答：最新的PMI数据显示，企业感受的供需矛盾有所改善，约一半的企业认为自身需求良好，这是过去四五年来的最低水平。此外，制造业PMI中的就业人员数量指标回到过去三四年同期高位，表明就业市场需求强劲。而价格指数也显示出供需情况比预期更好的迹象，整体来看，本月PMI表明整体供需矛盾进一步改善，且改善结构上呈现出明显的分化，中游制造业景气度表现尤其突出。</w:t>
      </w:r>
    </w:p>
    <w:p>
      <w:r>
        <w:rPr>
          <w:rFonts w:ascii="等线(中文正文)" w:hAnsi="等线(中文正文)" w:cs="等线(中文正文)" w:eastAsia="等线(中文正文)"/>
          <w:b w:val="false"/>
          <w:i w:val="false"/>
          <w:sz w:val="20"/>
        </w:rPr>
        <w:t/>
      </w:r>
    </w:p>
    <w:p>
      <w:pPr>
        <w:pStyle w:val="ab"/>
      </w:pPr>
      <w:r>
        <w:t>发言人1 问：上游板块的情况如何？</w:t>
      </w:r>
    </w:p>
    <w:p>
      <w:r>
        <w:rPr>
          <w:rFonts w:ascii="等线(中文正文)" w:hAnsi="等线(中文正文)" w:cs="等线(中文正文)" w:eastAsia="等线(中文正文)"/>
          <w:b w:val="false"/>
          <w:i w:val="false"/>
          <w:sz w:val="20"/>
        </w:rPr>
        <w:t>发言人1 答：上游板块在大宗商品价格上涨的背景下，价值表现强劲，但需求端出现分化信号。具体表现为化工和燃料加工行业的产量维度呈下降趋势，同时国内建筑业PMI也在走弱，反映出与投资相关的项目层面数据整体呈走弱态势。</w:t>
      </w:r>
    </w:p>
    <w:p>
      <w:r>
        <w:rPr>
          <w:rFonts w:ascii="等线(中文正文)" w:hAnsi="等线(中文正文)" w:cs="等线(中文正文)" w:eastAsia="等线(中文正文)"/>
          <w:b w:val="false"/>
          <w:i w:val="false"/>
          <w:sz w:val="20"/>
        </w:rPr>
        <w:t/>
      </w:r>
    </w:p>
    <w:p>
      <w:pPr>
        <w:pStyle w:val="ab"/>
      </w:pPr>
      <w:r>
        <w:t>发言人1 问：下游板块的情况怎样？</w:t>
      </w:r>
    </w:p>
    <w:p>
      <w:r>
        <w:rPr>
          <w:rFonts w:ascii="等线(中文正文)" w:hAnsi="等线(中文正文)" w:cs="等线(中文正文)" w:eastAsia="等线(中文正文)"/>
          <w:b w:val="false"/>
          <w:i w:val="false"/>
          <w:sz w:val="20"/>
        </w:rPr>
        <w:t>发言人1 答：下游板块目前面临终端零售偏弱的问题，尚未看到明确强劲向上的信号。从PMI数据来看，零售及餐饮行业呈现下滑趋势，同样存在分化现象。然而，制造业在中游的带动下，供需矛盾有所改善。</w:t>
      </w:r>
    </w:p>
    <w:p>
      <w:r>
        <w:rPr>
          <w:rFonts w:ascii="等线(中文正文)" w:hAnsi="等线(中文正文)" w:cs="等线(中文正文)" w:eastAsia="等线(中文正文)"/>
          <w:b w:val="false"/>
          <w:i w:val="false"/>
          <w:sz w:val="20"/>
        </w:rPr>
        <w:t/>
      </w:r>
    </w:p>
    <w:p>
      <w:pPr>
        <w:pStyle w:val="ab"/>
      </w:pPr>
      <w:r>
        <w:t>发言人1 问：高油价对毛利率有何影响？</w:t>
      </w:r>
    </w:p>
    <w:p>
      <w:r>
        <w:rPr>
          <w:rFonts w:ascii="等线(中文正文)" w:hAnsi="等线(中文正文)" w:cs="等线(中文正文)" w:eastAsia="等线(中文正文)"/>
          <w:b w:val="false"/>
          <w:i w:val="false"/>
          <w:sz w:val="20"/>
        </w:rPr>
        <w:t>发言人1 答：在高油价环境下，上游行业的毛利率有所改善，而中游和下游则有所不同。中游的毛利率在过去三个月内有所向好，未受到较大冲击；而下游的利润率有所下降，利润状况相对较弱。公用事业中的电力行业毛利率也出现了轻微下滑。</w:t>
      </w:r>
    </w:p>
    <w:p>
      <w:r>
        <w:rPr>
          <w:rFonts w:ascii="等线(中文正文)" w:hAnsi="等线(中文正文)" w:cs="等线(中文正文)" w:eastAsia="等线(中文正文)"/>
          <w:b w:val="false"/>
          <w:i w:val="false"/>
          <w:sz w:val="20"/>
        </w:rPr>
        <w:t/>
      </w:r>
    </w:p>
    <w:p>
      <w:pPr>
        <w:pStyle w:val="ab"/>
      </w:pPr>
      <w:r>
        <w:t>发言人1 问：目前宏观层面最值得关注的是什么？</w:t>
      </w:r>
    </w:p>
    <w:p>
      <w:r>
        <w:rPr>
          <w:rFonts w:ascii="等线(中文正文)" w:hAnsi="等线(中文正文)" w:cs="等线(中文正文)" w:eastAsia="等线(中文正文)"/>
          <w:b w:val="false"/>
          <w:i w:val="false"/>
          <w:sz w:val="20"/>
        </w:rPr>
        <w:t>发言人1 答：目前宏观层面最值得关注的是中游体系及其景气度，因为其整体供需矛盾改善且景气度全面。</w:t>
      </w:r>
    </w:p>
    <w:p>
      <w:r>
        <w:rPr>
          <w:rFonts w:ascii="等线(中文正文)" w:hAnsi="等线(中文正文)" w:cs="等线(中文正文)" w:eastAsia="等线(中文正文)"/>
          <w:b w:val="false"/>
          <w:i w:val="false"/>
          <w:sz w:val="20"/>
        </w:rPr>
        <w:t/>
      </w:r>
    </w:p>
    <w:p>
      <w:pPr>
        <w:pStyle w:val="ab"/>
      </w:pPr>
      <w:r>
        <w:t>发言人1 问：美联储如何看待通胀指标？</w:t>
      </w:r>
    </w:p>
    <w:p>
      <w:r>
        <w:rPr>
          <w:rFonts w:ascii="等线(中文正文)" w:hAnsi="等线(中文正文)" w:cs="等线(中文正文)" w:eastAsia="等线(中文正文)"/>
          <w:b w:val="false"/>
          <w:i w:val="false"/>
          <w:sz w:val="20"/>
        </w:rPr>
        <w:t>发言人1 答：美联储主席提名人沃什表示，目前判断通胀的指标并不完美，更倾向于关注结尾平均的PCE通胀率。对于通胀的衡量，不同国家和地区的核心CPI界定有所不同，但PCE价格指数被美联储官方采纳为通胀衡量指标，因为它覆盖的商品和服务范围更广且更能体现价格替代效应。</w:t>
      </w:r>
    </w:p>
    <w:p>
      <w:r>
        <w:rPr>
          <w:rFonts w:ascii="等线(中文正文)" w:hAnsi="等线(中文正文)" w:cs="等线(中文正文)" w:eastAsia="等线(中文正文)"/>
          <w:b w:val="false"/>
          <w:i w:val="false"/>
          <w:sz w:val="20"/>
        </w:rPr>
        <w:t/>
      </w:r>
    </w:p>
    <w:p>
      <w:pPr>
        <w:pStyle w:val="ab"/>
      </w:pPr>
      <w:r>
        <w:t>发言人1 问：核心PCE价格指数为何受到青睐？</w:t>
      </w:r>
    </w:p>
    <w:p>
      <w:r>
        <w:rPr>
          <w:rFonts w:ascii="等线(中文正文)" w:hAnsi="等线(中文正文)" w:cs="等线(中文正文)" w:eastAsia="等线(中文正文)"/>
          <w:b w:val="false"/>
          <w:i w:val="false"/>
          <w:sz w:val="20"/>
        </w:rPr>
        <w:t>发言人1 答：核心PCE价格指数由达拉斯联储工作人员提出，并得到美联储官员普遍青睐，因为它被认为更能实时反映整体PCE通胀趋势。此外，结尾平均的PCE通胀率和中位数PCE通胀率也被视为重要的参考指标，其中结尾平均的PCE通胀率被认为比核心PCE通胀率更能反映整体趋势。</w:t>
      </w:r>
    </w:p>
    <w:p>
      <w:r>
        <w:rPr>
          <w:rFonts w:ascii="等线(中文正文)" w:hAnsi="等线(中文正文)" w:cs="等线(中文正文)" w:eastAsia="等线(中文正文)"/>
          <w:b w:val="false"/>
          <w:i w:val="false"/>
          <w:sz w:val="20"/>
        </w:rPr>
        <w:t/>
      </w:r>
    </w:p>
    <w:p>
      <w:pPr>
        <w:pStyle w:val="ab"/>
      </w:pPr>
      <w:r>
        <w:t>发言人1 问：在不同的通胀衡量标准下，政策利率的差异是如何体现的？</w:t>
      </w:r>
    </w:p>
    <w:p>
      <w:r>
        <w:rPr>
          <w:rFonts w:ascii="等线(中文正文)" w:hAnsi="等线(中文正文)" w:cs="等线(中文正文)" w:eastAsia="等线(中文正文)"/>
          <w:b w:val="false"/>
          <w:i w:val="false"/>
          <w:sz w:val="20"/>
        </w:rPr>
        <w:t>发言人1 答：根据不同的通胀衡量标尺，例如核心PCE通货膨胀率、中位数PCE通胀率以及结尾平均的PCE通胀率，政策利率的指引会有所不同。如果采用核心PCE通胀率，现在的生产率应该在5%左右；而如果使用结尾平均的PCE通胀率，则政策利率应该在4%左右，比前者低大约100个基点。这表明，在不同通胀标准下，政策利率的差值比绝对水平更有意义，并且若美联储倾向于采用结尾平均的PCE通胀率作为衡量指标，预示着利率前景可能偏向于降息。</w:t>
      </w:r>
    </w:p>
    <w:p>
      <w:r>
        <w:rPr>
          <w:rFonts w:ascii="等线(中文正文)" w:hAnsi="等线(中文正文)" w:cs="等线(中文正文)" w:eastAsia="等线(中文正文)"/>
          <w:b w:val="false"/>
          <w:i w:val="false"/>
          <w:sz w:val="20"/>
        </w:rPr>
        <w:t/>
      </w:r>
    </w:p>
    <w:p>
      <w:pPr>
        <w:pStyle w:val="ab"/>
      </w:pPr>
      <w:r>
        <w:t>发言人1 问：关于今年中央企业利润上调比例的政策变化，市场存在哪些误解？</w:t>
      </w:r>
    </w:p>
    <w:p>
      <w:r>
        <w:rPr>
          <w:rFonts w:ascii="等线(中文正文)" w:hAnsi="等线(中文正文)" w:cs="等线(中文正文)" w:eastAsia="等线(中文正文)"/>
          <w:b w:val="false"/>
          <w:i w:val="false"/>
          <w:sz w:val="20"/>
        </w:rPr>
        <w:t>发言人1 答：市场对今年中央企业利润上调比例存在三个误解。首先，3月24日财政部公布的关于中央国有资本经营预算的说明，并非即时调整，而是每年固定时间点披露，并非作为调整试点。其次，调整实际发生在去年11月至12月间，依据文件财预2025 97号进行的调整，而非3月24日当天。最后，并非所有央企利润上缴比例都提高了10%至15%，其中金融央企不在此调整范围内，只涉及非金融类央企。此外，虽然今年中央本级收入预算数下降，但这并不意味着利润上缴比例的调整是在今年执行的，而是基于去年的数据推断出的调整结果。同时，地方国企可能会跟随实体央企提高利润上交比例，但具体调整情况还需观察预算执行过程中的表现。</w:t>
      </w:r>
    </w:p>
    <w:p>
      <w:r>
        <w:rPr>
          <w:rFonts w:ascii="等线(中文正文)" w:hAnsi="等线(中文正文)" w:cs="等线(中文正文)" w:eastAsia="等线(中文正文)"/>
          <w:b w:val="false"/>
          <w:i w:val="false"/>
          <w:sz w:val="20"/>
        </w:rPr>
        <w:t/>
      </w:r>
    </w:p>
    <w:p>
      <w:pPr>
        <w:pStyle w:val="ab"/>
      </w:pPr>
      <w:r>
        <w:t>发言人1 问：央企利润上缴比例提升是否直接导致了上市公司现金分红比例的提升？上一次央企利润上缴比例提高时，上市公司的现金分红有何变化？</w:t>
      </w:r>
    </w:p>
    <w:p>
      <w:r>
        <w:rPr>
          <w:rFonts w:ascii="等线(中文正文)" w:hAnsi="等线(中文正文)" w:cs="等线(中文正文)" w:eastAsia="等线(中文正文)"/>
          <w:b w:val="false"/>
          <w:i w:val="false"/>
          <w:sz w:val="20"/>
        </w:rPr>
        <w:t>发言人1 答：不是线性传导。因为央企利润上缴的主体是集团公司而非上市公司，短期可通过收缩投资、放弃并购项目或盘活存量资产来应对利润上交压力。长期来看，由于80%的利润由上市公司贡献，利润上交比例调整会通过线下传导至现金分红比例的提高。根据历史经验，从2013年到2017年，央企上市公司的平均分红比例提高了31个百分点，其中石油石化行业提高最多，达到71%，电力行业提高16个百分点。</w:t>
      </w:r>
    </w:p>
    <w:p>
      <w:r>
        <w:rPr>
          <w:rFonts w:ascii="等线(中文正文)" w:hAnsi="等线(中文正文)" w:cs="等线(中文正文)" w:eastAsia="等线(中文正文)"/>
          <w:b w:val="false"/>
          <w:i w:val="false"/>
          <w:sz w:val="20"/>
        </w:rPr>
        <w:t/>
      </w:r>
    </w:p>
    <w:p>
      <w:pPr>
        <w:pStyle w:val="ab"/>
      </w:pPr>
      <w:r>
        <w:t>发言人1 问：四月份全球投资十大主线中有哪些主要内容？</w:t>
      </w:r>
    </w:p>
    <w:p>
      <w:r>
        <w:rPr>
          <w:rFonts w:ascii="等线(中文正文)" w:hAnsi="等线(中文正文)" w:cs="等线(中文正文)" w:eastAsia="等线(中文正文)"/>
          <w:b w:val="false"/>
          <w:i w:val="false"/>
          <w:sz w:val="20"/>
        </w:rPr>
        <w:t>发言人1 答：主线一：美债期限衍生品共同定价利率上行风险；主线二：全球风险偏好抬升下，资金从货币市场基金大幅撤出；主线三：VX指数与美国经济政策不确定性指数脱钩；主线四：降息预期退潮后，收益率曲线陡峭化共识瓦解；主线五：高息预期驱动欧洲银行盈利估值共振；主线六：美股脱敏绝对利率而转向波动率定价；主线七：欧洲能源波动率倒挂折射出了定价的钝化；主线八：石油货币逻辑瓦解，并家园与WTI原油价格脱钩；主线九：实际利率下行或驱动A股估值实现重塑；主线十：日元极端拥挤的做空交易触发日央行政策干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2026-05-05T15:20:14Z</dcterms:created>
  <dc:creator>Apache POI</dc:creator>
</cp:coreProperties>
</file>