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麦格米特 260429_导读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营收 增长 数据中心 研发投入 电源 新能源 卫浴 工业自动化 海外收入 汇兑损益 财务投资 送样 产品矩阵 客户进展 智慧生活 热管理 动力装备 精密连接 长期布局 股权投资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近期面对业务营收和净利润下滑的挑战，但通过加大对数据中心、交通、智慧家电等关键领域的研发投入以及全球生产布局的优化，展现出稳健的成长态势。特别聚焦于数据中心电源、新能源解决方案和工业自动化等核心业务，公司对未来持积极预期，尤其是智慧生活和新能源板块的长期发展潜力。公司正积极回应投资者关切，讨论新产品研发、产能准备和全球市场拓展等议题，表达了对未来发展和市场拓展的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2025年耐力特营收及业绩分析</w:t>
      </w:r>
    </w:p>
    <w:p>
      <w:r>
        <w:rPr>
          <w:rFonts w:ascii="等线(中文正文)" w:hAnsi="等线(中文正文)" w:cs="等线(中文正文)" w:eastAsia="等线(中文正文)"/>
          <w:b w:val="false"/>
          <w:i w:val="false"/>
          <w:sz w:val="20"/>
        </w:rPr>
        <w:t>2025年耐力特营收94亿，同比增长15%，增幅较往年低。主要受便民家电事业部海外市场天气影响订单下滑，大宗商品上涨影响毛利，以及研发投入和管理费用增加。剔除便民家电，其他业务增长28%。</w:t>
      </w:r>
    </w:p>
    <w:p>
      <w:r>
        <w:rPr>
          <w:rFonts w:ascii="等线(中文正文)" w:hAnsi="等线(中文正文)" w:cs="等线(中文正文)" w:eastAsia="等线(中文正文)"/>
          <w:b w:val="false"/>
          <w:i w:val="false"/>
          <w:sz w:val="20"/>
        </w:rPr>
        <w:t/>
      </w:r>
    </w:p>
    <w:p>
      <w:pPr>
        <w:pStyle w:val="ab"/>
        <w:numPr>
          <w:numId w:val="2"/>
        </w:numPr>
      </w:pPr>
      <w:r>
        <w:t>02:25 2022年度各事业群营收及增长分析</w:t>
      </w:r>
    </w:p>
    <w:p>
      <w:r>
        <w:rPr>
          <w:rFonts w:ascii="等线(中文正文)" w:hAnsi="等线(中文正文)" w:cs="等线(中文正文)" w:eastAsia="等线(中文正文)"/>
          <w:b w:val="false"/>
          <w:i w:val="false"/>
          <w:sz w:val="20"/>
        </w:rPr>
        <w:t>2022年研发投入达11.2亿，同比增长14%，占总收入12%。电源事业群增幅14%，新能源翻番增长。家电下跌5%，卫浴逆势增长，稳固ODM地位。工业自动化增40%，动力装备增30%，连接器增18%，新产品推动销售。</w:t>
      </w:r>
    </w:p>
    <w:p>
      <w:r>
        <w:rPr>
          <w:rFonts w:ascii="等线(中文正文)" w:hAnsi="等线(中文正文)" w:cs="等线(中文正文)" w:eastAsia="等线(中文正文)"/>
          <w:b w:val="false"/>
          <w:i w:val="false"/>
          <w:sz w:val="20"/>
        </w:rPr>
        <w:t/>
      </w:r>
    </w:p>
    <w:p>
      <w:pPr>
        <w:pStyle w:val="ab"/>
        <w:numPr>
          <w:numId w:val="3"/>
        </w:numPr>
      </w:pPr>
      <w:r>
        <w:t>04:48 公司营收与研发投入策略及全球布局</w:t>
      </w:r>
    </w:p>
    <w:p>
      <w:r>
        <w:rPr>
          <w:rFonts w:ascii="等线(中文正文)" w:hAnsi="等线(中文正文)" w:cs="等线(中文正文)" w:eastAsia="等线(中文正文)"/>
          <w:b w:val="false"/>
          <w:i w:val="false"/>
          <w:sz w:val="20"/>
        </w:rPr>
        <w:t>公司过去十多年营收和研发投入均保持约25%的年均增幅，未来四年将继续加大投入，尤其在数据中心、交通、智能家电等领域。一季度营收近28亿，增幅20%，其中电源事业群增幅达66%，主要得益于数据中心业务。公司正优化全球布局，包括长沙、株洲、泰国和杭州的研发与生产基地，预计今年海外收入占比将显著提升，重点发展AIDC、数据能源、交通、工自动化和消费升级等业务。</w:t>
      </w:r>
    </w:p>
    <w:p>
      <w:r>
        <w:rPr>
          <w:rFonts w:ascii="等线(中文正文)" w:hAnsi="等线(中文正文)" w:cs="等线(中文正文)" w:eastAsia="等线(中文正文)"/>
          <w:b w:val="false"/>
          <w:i w:val="false"/>
          <w:sz w:val="20"/>
        </w:rPr>
        <w:t/>
      </w:r>
    </w:p>
    <w:p>
      <w:pPr>
        <w:pStyle w:val="ab"/>
        <w:numPr>
          <w:numId w:val="4"/>
        </w:numPr>
      </w:pPr>
      <w:r>
        <w:t>08:34 数据中心电源产品矩阵与未来布局</w:t>
      </w:r>
    </w:p>
    <w:p>
      <w:r>
        <w:rPr>
          <w:rFonts w:ascii="等线(中文正文)" w:hAnsi="等线(中文正文)" w:cs="等线(中文正文)" w:eastAsia="等线(中文正文)"/>
          <w:b w:val="false"/>
          <w:i w:val="false"/>
          <w:sz w:val="20"/>
        </w:rPr>
        <w:t>对话围绕数据中心电源产品矩阵展开，详细介绍了公司从网侧到端侧的整体布局，涵盖自产和在研产品，强调了英伟达路线图对技术方向的引导作用。提及了DTC展的最新进展，包括电源砖等产品展示。同时，概述了公司在新能源解决方案、热管理、动力和电源领域的持续布局，以及在储能、智慧生活和智能制造方面的进展。公司明确未来主赛道为数据中心、光伏充、交通和智能家电，展现了长期主义布局和系统能力发展策略。</w:t>
      </w:r>
    </w:p>
    <w:p>
      <w:r>
        <w:rPr>
          <w:rFonts w:ascii="等线(中文正文)" w:hAnsi="等线(中文正文)" w:cs="等线(中文正文)" w:eastAsia="等线(中文正文)"/>
          <w:b w:val="false"/>
          <w:i w:val="false"/>
          <w:sz w:val="20"/>
        </w:rPr>
        <w:t/>
      </w:r>
    </w:p>
    <w:p>
      <w:pPr>
        <w:pStyle w:val="ab"/>
        <w:numPr>
          <w:numId w:val="5"/>
        </w:numPr>
      </w:pPr>
      <w:r>
        <w:t>12:42 投资者会议：探讨财务影响与产品进展</w:t>
      </w:r>
    </w:p>
    <w:p>
      <w:r>
        <w:rPr>
          <w:rFonts w:ascii="等线(中文正文)" w:hAnsi="等线(中文正文)" w:cs="等线(中文正文)" w:eastAsia="等线(中文正文)"/>
          <w:b w:val="false"/>
          <w:i w:val="false"/>
          <w:sz w:val="20"/>
        </w:rPr>
        <w:t>会议中讨论了飞行损益与汇兑损益对财务的影响，询问了产品最新进展及规划，以及北美客户层面的最新动态，旨在深入了解公司运营状况及未来发展方向。</w:t>
      </w:r>
    </w:p>
    <w:p>
      <w:r>
        <w:rPr>
          <w:rFonts w:ascii="等线(中文正文)" w:hAnsi="等线(中文正文)" w:cs="等线(中文正文)" w:eastAsia="等线(中文正文)"/>
          <w:b w:val="false"/>
          <w:i w:val="false"/>
          <w:sz w:val="20"/>
        </w:rPr>
        <w:t/>
      </w:r>
    </w:p>
    <w:p>
      <w:pPr>
        <w:pStyle w:val="ab"/>
        <w:numPr>
          <w:numId w:val="6"/>
        </w:numPr>
      </w:pPr>
      <w:r>
        <w:t>14:18 公司财务影响分析：公允价值变动与汇兑损失</w:t>
      </w:r>
    </w:p>
    <w:p>
      <w:r>
        <w:rPr>
          <w:rFonts w:ascii="等线(中文正文)" w:hAnsi="等线(中文正文)" w:cs="等线(中文正文)" w:eastAsia="等线(中文正文)"/>
          <w:b w:val="false"/>
          <w:i w:val="false"/>
          <w:sz w:val="20"/>
        </w:rPr>
        <w:t>对话讨论了公司财务状况受公允价值变动和汇率影响的情况。公允价值变动主要源于股权投资估值提升和日常理财投资，尤其在2024年影响显著，达两亿多。汇率波动，特别是美元和印度卢比相对人民币贬值，导致一季度利润损失约4000万，影响显著，尤其是印度智能家电业务高峰期。公司正面对宏观汇率变化带来的长期挑战。</w:t>
      </w:r>
    </w:p>
    <w:p>
      <w:r>
        <w:rPr>
          <w:rFonts w:ascii="等线(中文正文)" w:hAnsi="等线(中文正文)" w:cs="等线(中文正文)" w:eastAsia="等线(中文正文)"/>
          <w:b w:val="false"/>
          <w:i w:val="false"/>
          <w:sz w:val="20"/>
        </w:rPr>
        <w:t/>
      </w:r>
    </w:p>
    <w:p>
      <w:pPr>
        <w:pStyle w:val="ab"/>
        <w:numPr>
          <w:numId w:val="7"/>
        </w:numPr>
      </w:pPr>
      <w:r>
        <w:t>17:00 AI电源产品进展与市场预期分析</w:t>
      </w:r>
    </w:p>
    <w:p>
      <w:r>
        <w:rPr>
          <w:rFonts w:ascii="等线(中文正文)" w:hAnsi="等线(中文正文)" w:cs="等线(中文正文)" w:eastAsia="等线(中文正文)"/>
          <w:b w:val="false"/>
          <w:i w:val="false"/>
          <w:sz w:val="20"/>
        </w:rPr>
        <w:t>讨论了AI电源产品GP200、GP300的市场表现与研发进度，指出虽初期落后但已追平同行，预计上半年将有更多订单。同时提及SST产品的国内外开发进度及未来市场应用前景，强调供应链磨合与安全规范问题对大规模应用的影响。</w:t>
      </w:r>
    </w:p>
    <w:p>
      <w:r>
        <w:rPr>
          <w:rFonts w:ascii="等线(中文正文)" w:hAnsi="等线(中文正文)" w:cs="等线(中文正文)" w:eastAsia="等线(中文正文)"/>
          <w:b w:val="false"/>
          <w:i w:val="false"/>
          <w:sz w:val="20"/>
        </w:rPr>
        <w:t/>
      </w:r>
    </w:p>
    <w:p>
      <w:pPr>
        <w:pStyle w:val="ab"/>
        <w:numPr>
          <w:numId w:val="8"/>
        </w:numPr>
      </w:pPr>
      <w:r>
        <w:t>20:33 产品发展与订单趋势分析</w:t>
      </w:r>
    </w:p>
    <w:p>
      <w:r>
        <w:rPr>
          <w:rFonts w:ascii="等线(中文正文)" w:hAnsi="等线(中文正文)" w:cs="等线(中文正文)" w:eastAsia="等线(中文正文)"/>
          <w:b w:val="false"/>
          <w:i w:val="false"/>
          <w:sz w:val="20"/>
        </w:rPr>
        <w:t>对话围绕产品发展与订单趋势展开，强调了产品性能提升、客户认可度增强以及订单量增加的重要性。预计今年将是批量订单的第一年，产品种类将迅速丰富，包括专功率砖电源等，进入客户送量测试阶段。尽管订单稳定性有待提高，但随着客户增多，未来订单预测性将增强。研发高投入是当前压力所在，但整体呈现出每年上一个台阶的发展态势。</w:t>
      </w:r>
    </w:p>
    <w:p>
      <w:r>
        <w:rPr>
          <w:rFonts w:ascii="等线(中文正文)" w:hAnsi="等线(中文正文)" w:cs="等线(中文正文)" w:eastAsia="等线(中文正文)"/>
          <w:b w:val="false"/>
          <w:i w:val="false"/>
          <w:sz w:val="20"/>
        </w:rPr>
        <w:t/>
      </w:r>
    </w:p>
    <w:p>
      <w:pPr>
        <w:pStyle w:val="ab"/>
        <w:numPr>
          <w:numId w:val="9"/>
        </w:numPr>
      </w:pPr>
      <w:r>
        <w:t>22:45 非NV客户订单与ASIC技术进展</w:t>
      </w:r>
    </w:p>
    <w:p>
      <w:r>
        <w:rPr>
          <w:rFonts w:ascii="等线(中文正文)" w:hAnsi="等线(中文正文)" w:cs="等线(中文正文)" w:eastAsia="等线(中文正文)"/>
          <w:b w:val="false"/>
          <w:i w:val="false"/>
          <w:sz w:val="20"/>
        </w:rPr>
        <w:t>对话涉及非NV客户的订单情况，强调了MBS生态型订单对其他客户的积极影响，提及国内运营商部分订单明确，同时分享了ASIC技术进展及与北美客户在电源芯片上的合作，重申行业惯例下不透露具体客户和项目信息的立场。</w:t>
      </w:r>
    </w:p>
    <w:p>
      <w:r>
        <w:rPr>
          <w:rFonts w:ascii="等线(中文正文)" w:hAnsi="等线(中文正文)" w:cs="等线(中文正文)" w:eastAsia="等线(中文正文)"/>
          <w:b w:val="false"/>
          <w:i w:val="false"/>
          <w:sz w:val="20"/>
        </w:rPr>
        <w:t/>
      </w:r>
    </w:p>
    <w:p>
      <w:pPr>
        <w:pStyle w:val="ab"/>
        <w:numPr>
          <w:numId w:val="10"/>
        </w:numPr>
      </w:pPr>
      <w:r>
        <w:t>24:13 公司DCDC产品路线与技术规划</w:t>
      </w:r>
    </w:p>
    <w:p>
      <w:r>
        <w:rPr>
          <w:rFonts w:ascii="等线(中文正文)" w:hAnsi="等线(中文正文)" w:cs="等线(中文正文)" w:eastAsia="等线(中文正文)"/>
          <w:b w:val="false"/>
          <w:i w:val="false"/>
          <w:sz w:val="20"/>
        </w:rPr>
        <w:t>对话围绕公司DCDC产品路线展开，涉及800伏至12伏、48伏等不同电压等级的转换方案，以及12伏以下至0.8伏的板载电源技术预研。公司正推进800伏至50伏、800伏至12伏等产品的样品开发与测试，同时探索多条技术路线以应对行业变化，强调与芯片厂家的紧密合作，以适应芯片供电需求。未来规划聚焦于高压到低压的高效转换技术，持续丰富产品线，目标为满足市场需求并推动业绩增长。</w:t>
      </w:r>
    </w:p>
    <w:p>
      <w:r>
        <w:rPr>
          <w:rFonts w:ascii="等线(中文正文)" w:hAnsi="等线(中文正文)" w:cs="等线(中文正文)" w:eastAsia="等线(中文正文)"/>
          <w:b w:val="false"/>
          <w:i w:val="false"/>
          <w:sz w:val="20"/>
        </w:rPr>
        <w:t/>
      </w:r>
    </w:p>
    <w:p>
      <w:pPr>
        <w:pStyle w:val="ab"/>
        <w:numPr>
          <w:numId w:val="11"/>
        </w:numPr>
      </w:pPr>
      <w:r>
        <w:t>28:16 公司全年收入展望与成本压力应对</w:t>
      </w:r>
    </w:p>
    <w:p>
      <w:r>
        <w:rPr>
          <w:rFonts w:ascii="等线(中文正文)" w:hAnsi="等线(中文正文)" w:cs="等线(中文正文)" w:eastAsia="等线(中文正文)"/>
          <w:b w:val="false"/>
          <w:i w:val="false"/>
          <w:sz w:val="20"/>
        </w:rPr>
        <w:t>对话围绕公司全年收入预期及原材料成本压力展开，管理层对一季度20%的增长表示不满，认为二季度和三季度订单充足，有望改善业绩，但受美伊战争及房地产市场影响，全年消费板块增长不确定性增加，电源和自动化板块预期表现良好。</w:t>
      </w:r>
    </w:p>
    <w:p>
      <w:r>
        <w:rPr>
          <w:rFonts w:ascii="等线(中文正文)" w:hAnsi="等线(中文正文)" w:cs="等线(中文正文)" w:eastAsia="等线(中文正文)"/>
          <w:b w:val="false"/>
          <w:i w:val="false"/>
          <w:sz w:val="20"/>
        </w:rPr>
        <w:t/>
      </w:r>
    </w:p>
    <w:p>
      <w:pPr>
        <w:pStyle w:val="ab"/>
        <w:numPr>
          <w:numId w:val="12"/>
        </w:numPr>
      </w:pPr>
      <w:r>
        <w:t>31:05 公司应对成本压力与存货管理策略</w:t>
      </w:r>
    </w:p>
    <w:p>
      <w:r>
        <w:rPr>
          <w:rFonts w:ascii="等线(中文正文)" w:hAnsi="等线(中文正文)" w:cs="等线(中文正文)" w:eastAsia="等线(中文正文)"/>
          <w:b w:val="false"/>
          <w:i w:val="false"/>
          <w:sz w:val="20"/>
        </w:rPr>
        <w:t>面对全球成本压力，公司一季度毛利表现不佳，采取样本调整和价格上调措施。尽管订单存在，但海外客户生产受限影响出货，公司提前备货并准备未来订单存货，以应对不确定的宏观环境。</w:t>
      </w:r>
    </w:p>
    <w:p>
      <w:r>
        <w:rPr>
          <w:rFonts w:ascii="等线(中文正文)" w:hAnsi="等线(中文正文)" w:cs="等线(中文正文)" w:eastAsia="等线(中文正文)"/>
          <w:b w:val="false"/>
          <w:i w:val="false"/>
          <w:sz w:val="20"/>
        </w:rPr>
        <w:t/>
      </w:r>
    </w:p>
    <w:p>
      <w:pPr>
        <w:pStyle w:val="ab"/>
        <w:numPr>
          <w:numId w:val="13"/>
        </w:numPr>
      </w:pPr>
      <w:r>
        <w:t>32:39 机房升级与电源技术储备探讨</w:t>
      </w:r>
    </w:p>
    <w:p>
      <w:r>
        <w:rPr>
          <w:rFonts w:ascii="等线(中文正文)" w:hAnsi="等线(中文正文)" w:cs="等线(中文正文)" w:eastAsia="等线(中文正文)"/>
          <w:b w:val="false"/>
          <w:i w:val="false"/>
          <w:sz w:val="20"/>
        </w:rPr>
        <w:t>讨论了在机房升级至800伏HVDC系统时，保留原有UPS架构的可能性及其过渡性质，以及公司对英伟达生态和ASK芯片生态的市场覆盖策略。强调了快速储能技术的开发与应用，特别是超级电容在应对电网波动性不足时的作用。同时，提及了针对国内市场需求快速响应的能力，以及在特种补偿设备和高压直流供电方案上的技术储备，展现了公司在国内外市场布局的全面性和灵活性。</w:t>
      </w:r>
    </w:p>
    <w:p>
      <w:r>
        <w:rPr>
          <w:rFonts w:ascii="等线(中文正文)" w:hAnsi="等线(中文正文)" w:cs="等线(中文正文)" w:eastAsia="等线(中文正文)"/>
          <w:b w:val="false"/>
          <w:i w:val="false"/>
          <w:sz w:val="20"/>
        </w:rPr>
        <w:t/>
      </w:r>
    </w:p>
    <w:p>
      <w:pPr>
        <w:pStyle w:val="ab"/>
        <w:numPr>
          <w:numId w:val="14"/>
        </w:numPr>
      </w:pPr>
      <w:r>
        <w:t>36:59 终端客户采购模式与需求多样化分析</w:t>
      </w:r>
    </w:p>
    <w:p>
      <w:r>
        <w:rPr>
          <w:rFonts w:ascii="等线(中文正文)" w:hAnsi="等线(中文正文)" w:cs="等线(中文正文)" w:eastAsia="等线(中文正文)"/>
          <w:b w:val="false"/>
          <w:i w:val="false"/>
          <w:sz w:val="20"/>
        </w:rPr>
        <w:t>讨论了终端客户在采购单产品与整体解决方案之间的选择，指出运营商在决策中的主导地位，以及CSP需求的多样性与非标准化特性，强调了研发投入的重要性及直接与终端客户沟通以精准把握需求的策略价值。</w:t>
      </w:r>
    </w:p>
    <w:p>
      <w:r>
        <w:rPr>
          <w:rFonts w:ascii="等线(中文正文)" w:hAnsi="等线(中文正文)" w:cs="等线(中文正文)" w:eastAsia="等线(中文正文)"/>
          <w:b w:val="false"/>
          <w:i w:val="false"/>
          <w:sz w:val="20"/>
        </w:rPr>
        <w:t/>
      </w:r>
    </w:p>
    <w:p>
      <w:pPr>
        <w:pStyle w:val="ab"/>
        <w:numPr>
          <w:numId w:val="15"/>
        </w:numPr>
      </w:pPr>
      <w:r>
        <w:t>41:04 工业自动化细分领域的发展策略与成效</w:t>
      </w:r>
    </w:p>
    <w:p>
      <w:r>
        <w:rPr>
          <w:rFonts w:ascii="等线(中文正文)" w:hAnsi="等线(中文正文)" w:cs="等线(中文正文)" w:eastAsia="等线(中文正文)"/>
          <w:b w:val="false"/>
          <w:i w:val="false"/>
          <w:sz w:val="20"/>
        </w:rPr>
        <w:t>对话深入探讨了工业自动化领域，特别是变频器、伺服POC等产品的市场表现与公司战略。不同于市场主流的通用平台建设，公司选择了一条专注于细分领域的道路，通过定制化产品和技术创新，如电梯控制、温控技术、焊接设备等，实现了超过30%的年增长率。这种策略不仅避免了与大型竞争对手的直接冲突，还开辟了新的市场空间，展示了公司在工业自动化领域的独特竞争力和发展潜力。</w:t>
      </w:r>
    </w:p>
    <w:p>
      <w:r>
        <w:rPr>
          <w:rFonts w:ascii="等线(中文正文)" w:hAnsi="等线(中文正文)" w:cs="等线(中文正文)" w:eastAsia="等线(中文正文)"/>
          <w:b w:val="false"/>
          <w:i w:val="false"/>
          <w:sz w:val="20"/>
        </w:rPr>
        <w:t/>
      </w:r>
    </w:p>
    <w:p>
      <w:pPr>
        <w:pStyle w:val="ab"/>
        <w:numPr>
          <w:numId w:val="16"/>
        </w:numPr>
      </w:pPr>
      <w:r>
        <w:t>47:36 艾米特技术战略与市场布局</w:t>
      </w:r>
    </w:p>
    <w:p>
      <w:r>
        <w:rPr>
          <w:rFonts w:ascii="等线(中文正文)" w:hAnsi="等线(中文正文)" w:cs="等线(中文正文)" w:eastAsia="等线(中文正文)"/>
          <w:b w:val="false"/>
          <w:i w:val="false"/>
          <w:sz w:val="20"/>
        </w:rPr>
        <w:t>艾米特坚持其三大底层技术：动力转换、自动控制系统通讯，尤其在工控领域不退反进，通过交通变频热管理、采油焊机等应用拓宽市场。公司强化专用技术平台，推出通用产品，与国际知名品牌合作，覆盖电梯信息控制、轨道交通等多个细分领域。艾米特避免国内排名竞争，专注于独特细分市场，获得客户认可。未来，公司计划在电机前悬、非电机电源及全能电机领域持续发展，预计占据更大市场份额。</w:t>
      </w:r>
    </w:p>
    <w:p>
      <w:r>
        <w:rPr>
          <w:rFonts w:ascii="等线(中文正文)" w:hAnsi="等线(中文正文)" w:cs="等线(中文正文)" w:eastAsia="等线(中文正文)"/>
          <w:b w:val="false"/>
          <w:i w:val="false"/>
          <w:sz w:val="20"/>
        </w:rPr>
        <w:t/>
      </w:r>
    </w:p>
    <w:p>
      <w:pPr>
        <w:pStyle w:val="ab"/>
        <w:numPr>
          <w:numId w:val="17"/>
        </w:numPr>
      </w:pPr>
      <w:r>
        <w:t>51:48 全系列产品布局与客户粘性提升策略</w:t>
      </w:r>
    </w:p>
    <w:p>
      <w:r>
        <w:rPr>
          <w:rFonts w:ascii="等线(中文正文)" w:hAnsi="等线(中文正文)" w:cs="等线(中文正文)" w:eastAsia="等线(中文正文)"/>
          <w:b w:val="false"/>
          <w:i w:val="false"/>
          <w:sz w:val="20"/>
        </w:rPr>
        <w:t>对话围绕公司全系列产品的布局展开，强调了在AI、交通、装备等领域的全面覆盖，以及通过丰富产品线提升客户粘性和品牌议价能力的底层逻辑。提及了在DAI电源、储能充电、高效电源等细分市场的技术追赶与领先，以及成为主题供应商面临的挑战。此外，还讨论了产品线的扩展如何减少客户工作量，增强客户依赖性，从而在行业内形成竞争优势。</w:t>
      </w:r>
    </w:p>
    <w:p>
      <w:r>
        <w:rPr>
          <w:rFonts w:ascii="等线(中文正文)" w:hAnsi="等线(中文正文)" w:cs="等线(中文正文)" w:eastAsia="等线(中文正文)"/>
          <w:b w:val="false"/>
          <w:i w:val="false"/>
          <w:sz w:val="20"/>
        </w:rPr>
        <w:t/>
      </w:r>
    </w:p>
    <w:p>
      <w:pPr>
        <w:pStyle w:val="ab"/>
        <w:numPr>
          <w:numId w:val="18"/>
        </w:numPr>
      </w:pPr>
      <w:r>
        <w:t>58:35 AI电源行业创新与量产节点解析</w:t>
      </w:r>
    </w:p>
    <w:p>
      <w:r>
        <w:rPr>
          <w:rFonts w:ascii="等线(中文正文)" w:hAnsi="等线(中文正文)" w:cs="等线(中文正文)" w:eastAsia="等线(中文正文)"/>
          <w:b w:val="false"/>
          <w:i w:val="false"/>
          <w:sz w:val="20"/>
        </w:rPr>
        <w:t>对话围绕AI电源行业的发展策略与量产计划展开，强调了组织创新和客户沟通的重要性，以及通过高级专家布局实现对客户需求的精准理解。量产节点方面，芯片预计三月开始，但系统量产可能延后，整体进度领先行业。公司计划抓住年底至明年的重要市场机遇，推动产品量产与市场拓展。</w:t>
      </w:r>
    </w:p>
    <w:p>
      <w:r>
        <w:rPr>
          <w:rFonts w:ascii="等线(中文正文)" w:hAnsi="等线(中文正文)" w:cs="等线(中文正文)" w:eastAsia="等线(中文正文)"/>
          <w:b w:val="false"/>
          <w:i w:val="false"/>
          <w:sz w:val="20"/>
        </w:rPr>
        <w:t/>
      </w:r>
    </w:p>
    <w:p>
      <w:pPr>
        <w:pStyle w:val="ab"/>
        <w:numPr>
          <w:numId w:val="19"/>
        </w:numPr>
      </w:pPr>
      <w:r>
        <w:t>01:01:06 数据中心电源布局与产能规划探讨</w:t>
      </w:r>
    </w:p>
    <w:p>
      <w:r>
        <w:rPr>
          <w:rFonts w:ascii="等线(中文正文)" w:hAnsi="等线(中文正文)" w:cs="等线(中文正文)" w:eastAsia="等线(中文正文)"/>
          <w:b w:val="false"/>
          <w:i w:val="false"/>
          <w:sz w:val="20"/>
        </w:rPr>
        <w:t>对话围绕数据中心电源布局展开，讨论了PSU电源之外的SSTL call等产品线的市场地位及未来趋势，强调了速度、投入、能力和管理能力在成为主力供应商中的重要性。同时，提及了产能建设的全球布局，包括国内株洲和泰国的生产线规划，以及自动化程度的逐步提升策略。</w:t>
      </w:r>
    </w:p>
    <w:p>
      <w:r>
        <w:rPr>
          <w:rFonts w:ascii="等线(中文正文)" w:hAnsi="等线(中文正文)" w:cs="等线(中文正文)" w:eastAsia="等线(中文正文)"/>
          <w:b w:val="false"/>
          <w:i w:val="false"/>
          <w:sz w:val="20"/>
        </w:rPr>
        <w:t/>
      </w:r>
    </w:p>
    <w:p>
      <w:pPr>
        <w:pStyle w:val="a7"/>
      </w:pPr>
      <w:r>
        <w:t>发言总结</w:t>
      </w:r>
    </w:p>
    <w:p>
      <w:pPr>
        <w:pStyle w:val="ab"/>
        <w:numPr>
          <w:numId w:val="20"/>
        </w:numPr>
      </w:pPr>
      <w:r>
        <w:t>发言人1</w:t>
      </w:r>
    </w:p>
    <w:p>
      <w:r>
        <w:rPr>
          <w:rFonts w:ascii="等线(中文正文)" w:hAnsi="等线(中文正文)" w:cs="等线(中文正文)" w:eastAsia="等线(中文正文)"/>
          <w:b w:val="false"/>
          <w:i w:val="false"/>
          <w:sz w:val="20"/>
        </w:rPr>
        <w:t>首先强调了数据中心的SST与一般SSC之间的本质区别，指出许多企业对此认识不足。他分享了自己在储能领域转战数据中心ACCT领域的经验，强调深入了解客户的真实需求对于产品设计至关重要。他还提到了公司在株洲和泰国的产能建设情况，强调自动化和融资在产能扩张中的重要性，并指出产能规划不仅服务于数据中心业务，也涵盖了家电和工业电源等领域，这是公司全球化战略的一部分。
接着，他对公司的业绩进行了回顾，指出2025年的耐力特营收虽然达到94亿，同比增长15%，但归母净利润和扣费归母净利润下降，这主要是由于海外市场订单和交付的下滑所导致。他强调了公司对市场变化的适应能力，并提到了研发投入的增加，特别是在数据中心电源、交通、工业自动化等领域的重点投资。
他还讨论了公司面对的挑战，如汇率波动的影响，以及公司采取的应对措施。他表达了公司对未来发展的积极态度，特别是在工业自动化、新能源和智慧生活等领域的长期投资和战略布局。</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问：2025年的营收情况及主要影响因素是什么？公司在研发投入方面的状况如何？</w:t>
      </w:r>
    </w:p>
    <w:p>
      <w:r>
        <w:rPr>
          <w:rFonts w:ascii="等线(中文正文)" w:hAnsi="等线(中文正文)" w:cs="等线(中文正文)" w:eastAsia="等线(中文正文)"/>
          <w:b w:val="false"/>
          <w:i w:val="false"/>
          <w:sz w:val="20"/>
        </w:rPr>
        <w:t>发言人1 答：2025年，公司的耐力特营收为94亿，同比增长15%，这是过去几年中相对较低的增长率。尽管如此，如果排除便民家电事业部受海外天气影响导致的下滑，其他业务增长达到了28%。归母净利润和扣费归母净利润均出现了显著下跌，主要原因是大宗商品价格上涨对毛利产生了负面影响，以及在数据中心电源等主流方向上的研发投入较大，同时还有管理费用的增加，其中包括平台建设及海外基地转固带来的折旧影响。公司在2025年研发投入达到11.2亿，同比增长14%，占收入的比例约为12%。电源事业群的增幅虽然不高，但在新能源领域的增长十分显著。公司正持续推出新产品，如PLC、通用变频器和专用变频器，并计划在接下来几年继续加大新产品开发力度，特别是在数据中心、交通、智能家居等领域。</w:t>
      </w:r>
    </w:p>
    <w:p>
      <w:r>
        <w:rPr>
          <w:rFonts w:ascii="等线(中文正文)" w:hAnsi="等线(中文正文)" w:cs="等线(中文正文)" w:eastAsia="等线(中文正文)"/>
          <w:b w:val="false"/>
          <w:i w:val="false"/>
          <w:sz w:val="20"/>
        </w:rPr>
        <w:t/>
      </w:r>
    </w:p>
    <w:p>
      <w:pPr>
        <w:pStyle w:val="ab"/>
      </w:pPr>
      <w:r>
        <w:t>发言人1 问：2025年各事业群的经营状况如何？</w:t>
      </w:r>
    </w:p>
    <w:p>
      <w:r>
        <w:rPr>
          <w:rFonts w:ascii="等线(中文正文)" w:hAnsi="等线(中文正文)" w:cs="等线(中文正文)" w:eastAsia="等线(中文正文)"/>
          <w:b w:val="false"/>
          <w:i w:val="false"/>
          <w:sz w:val="20"/>
        </w:rPr>
        <w:t>发言人1 答：在2025年，电源事业群的增幅为14%，而新能源事业群实现了翻番的巨大增长，主要是由于前期布局的定点厂商，尤其是某些大客户的车型销售表现优异，带动了整体电源业务的增长。此外，家电整体下跌了5%，其中贝林家电板块受到一定影响，但卫浴板块仍保持了较好的增速，在房地产和家居市场消费平淡的情况下实现了增长。工业自动化、动力装备和连接增长分别达到了40%、30%和18%，均有所上升。</w:t>
      </w:r>
    </w:p>
    <w:p>
      <w:r>
        <w:rPr>
          <w:rFonts w:ascii="等线(中文正文)" w:hAnsi="等线(中文正文)" w:cs="等线(中文正文)" w:eastAsia="等线(中文正文)"/>
          <w:b w:val="false"/>
          <w:i w:val="false"/>
          <w:sz w:val="20"/>
        </w:rPr>
        <w:t/>
      </w:r>
    </w:p>
    <w:p>
      <w:pPr>
        <w:pStyle w:val="ab"/>
      </w:pPr>
      <w:r>
        <w:t>发言人1 问：第一季度的营收表现及各业务板块情况如何？</w:t>
      </w:r>
    </w:p>
    <w:p>
      <w:r>
        <w:rPr>
          <w:rFonts w:ascii="等线(中文正文)" w:hAnsi="等线(中文正文)" w:cs="等线(中文正文)" w:eastAsia="等线(中文正文)"/>
          <w:b w:val="false"/>
          <w:i w:val="false"/>
          <w:sz w:val="20"/>
        </w:rPr>
        <w:t>发言人1 答：第一季度整体营收为27.9亿，同比增长20%。其中，电源事业群的增幅尤为突出，达到了66%，这主要归因于数据中心业务的强劲表现。尽管如此，其他传统业务板块也实现了增长，但增幅相对较小。预计随着海外业务的逐步恢复，全年海外收入占比将显著提升。</w:t>
      </w:r>
    </w:p>
    <w:p>
      <w:r>
        <w:rPr>
          <w:rFonts w:ascii="等线(中文正文)" w:hAnsi="等线(中文正文)" w:cs="等线(中文正文)" w:eastAsia="等线(中文正文)"/>
          <w:b w:val="false"/>
          <w:i w:val="false"/>
          <w:sz w:val="20"/>
        </w:rPr>
        <w:t/>
      </w:r>
    </w:p>
    <w:p>
      <w:pPr>
        <w:pStyle w:val="ab"/>
      </w:pPr>
      <w:r>
        <w:t>发言人1 问：公司未来的战略布局和重点发展领域有哪些？</w:t>
      </w:r>
    </w:p>
    <w:p>
      <w:r>
        <w:rPr>
          <w:rFonts w:ascii="等线(中文正文)" w:hAnsi="等线(中文正文)" w:cs="等线(中文正文)" w:eastAsia="等线(中文正文)"/>
          <w:b w:val="false"/>
          <w:i w:val="false"/>
          <w:sz w:val="20"/>
        </w:rPr>
        <w:t>发言人1 答：公司未来的战略布局将围绕数据中心、AIDC、数据能源、交通、工自动化和消费升级等领域进行重点发力。在数据中心电源方面，公司已构建了从网侧到端侧的产品矩阵，并在全球范围内进行布局，包括长沙研发中心的启用、株洲和泰国一期厂房的建设，以及杭州产业中心的运营。此外，公司还致力于智慧生活领域的布局，特别是家电领域的智能制造和系统能力提升。</w:t>
      </w:r>
    </w:p>
    <w:p>
      <w:r>
        <w:rPr>
          <w:rFonts w:ascii="等线(中文正文)" w:hAnsi="等线(中文正文)" w:cs="等线(中文正文)" w:eastAsia="等线(中文正文)"/>
          <w:b w:val="false"/>
          <w:i w:val="false"/>
          <w:sz w:val="20"/>
        </w:rPr>
        <w:t/>
      </w:r>
    </w:p>
    <w:p>
      <w:pPr>
        <w:pStyle w:val="ab"/>
      </w:pPr>
      <w:r>
        <w:t>发言人1 问：飞机部分的公允价值变动主要由哪两部分组成？</w:t>
      </w:r>
    </w:p>
    <w:p>
      <w:r>
        <w:rPr>
          <w:rFonts w:ascii="等线(中文正文)" w:hAnsi="等线(中文正文)" w:cs="等线(中文正文)" w:eastAsia="等线(中文正文)"/>
          <w:b w:val="false"/>
          <w:i w:val="false"/>
          <w:sz w:val="20"/>
        </w:rPr>
        <w:t>发言人1 答：飞机部分的公允价值变动主要由两部分组成，一部分是投资于股权投资的公司，在一季度融资后估值明显提升所带来的影响；另一部分则是对外进行的财务投资所形成的固定价值变动，这一部分也有几千万的影响。</w:t>
      </w:r>
    </w:p>
    <w:p>
      <w:r>
        <w:rPr>
          <w:rFonts w:ascii="等线(中文正文)" w:hAnsi="等线(中文正文)" w:cs="等线(中文正文)" w:eastAsia="等线(中文正文)"/>
          <w:b w:val="false"/>
          <w:i w:val="false"/>
          <w:sz w:val="20"/>
        </w:rPr>
        <w:t/>
      </w:r>
    </w:p>
    <w:p>
      <w:pPr>
        <w:pStyle w:val="ab"/>
      </w:pPr>
      <w:r>
        <w:t>发言人1 问：为什么汇兑问题会对公司利润造成较大影响？</w:t>
      </w:r>
    </w:p>
    <w:p>
      <w:r>
        <w:rPr>
          <w:rFonts w:ascii="等线(中文正文)" w:hAnsi="等线(中文正文)" w:cs="等线(中文正文)" w:eastAsia="等线(中文正文)"/>
          <w:b w:val="false"/>
          <w:i w:val="false"/>
          <w:sz w:val="20"/>
        </w:rPr>
        <w:t>发言人1 答：公司在一季度的扣费规模利润减少主要是因为汇率波动，尤其是美元和其他货币相对于人民币贬值，其中非美元小货币贬值幅度更大。由于一季度是智能家电业务的最大季度，因此汇率影响尤为显著。</w:t>
      </w:r>
    </w:p>
    <w:p>
      <w:r>
        <w:rPr>
          <w:rFonts w:ascii="等线(中文正文)" w:hAnsi="等线(中文正文)" w:cs="等线(中文正文)" w:eastAsia="等线(中文正文)"/>
          <w:b w:val="false"/>
          <w:i w:val="false"/>
          <w:sz w:val="20"/>
        </w:rPr>
        <w:t/>
      </w:r>
    </w:p>
    <w:p>
      <w:pPr>
        <w:pStyle w:val="ab"/>
      </w:pPr>
      <w:r>
        <w:t>发言人1 问：AI电源产品的研发进度和市场表现如何？</w:t>
      </w:r>
    </w:p>
    <w:p>
      <w:r>
        <w:rPr>
          <w:rFonts w:ascii="等线(中文正文)" w:hAnsi="等线(中文正文)" w:cs="等线(中文正文)" w:eastAsia="等线(中文正文)"/>
          <w:b w:val="false"/>
          <w:i w:val="false"/>
          <w:sz w:val="20"/>
        </w:rPr>
        <w:t>发言人1 答：AI电源产品方面，GP200和TP300的研发进度在不断提升，并且已经获得了批量订单，尤其是在今年一季度有所体现。技术共享性很高，未来可能在细分领域有更大突破。目前在与同行的竞争中处于追平甚至领先的地位，预计今年上半年会有更多的订单产出，同时也在开发新产品如very loving，并已拿到中样订单，正等待送样测试和试用订单。</w:t>
      </w:r>
    </w:p>
    <w:p>
      <w:r>
        <w:rPr>
          <w:rFonts w:ascii="等线(中文正文)" w:hAnsi="等线(中文正文)" w:cs="等线(中文正文)" w:eastAsia="等线(中文正文)"/>
          <w:b w:val="false"/>
          <w:i w:val="false"/>
          <w:sz w:val="20"/>
        </w:rPr>
        <w:t/>
      </w:r>
    </w:p>
    <w:p>
      <w:pPr>
        <w:pStyle w:val="ab"/>
      </w:pPr>
      <w:r>
        <w:t>发言人1 问：对于数据中心电源（SST）的大规模应用前景有何看法？</w:t>
      </w:r>
    </w:p>
    <w:p>
      <w:r>
        <w:rPr>
          <w:rFonts w:ascii="等线(中文正文)" w:hAnsi="等线(中文正文)" w:cs="等线(中文正文)" w:eastAsia="等线(中文正文)"/>
          <w:b w:val="false"/>
          <w:i w:val="false"/>
          <w:sz w:val="20"/>
        </w:rPr>
        <w:t>发言人1 答：认为SST在数据中心的大规模应用不会很快实现，这取决于整个行业的供应链水平和磨合情况。未来两年到三年的主要战场可能还是在lab以及部分GV300及其衍生产品上，尤其是针对20克芯片等特定需求。目前的产品开发和客户认证进度表明，公司在该领域已追赶上了竞争对手。</w:t>
      </w:r>
    </w:p>
    <w:p>
      <w:r>
        <w:rPr>
          <w:rFonts w:ascii="等线(中文正文)" w:hAnsi="等线(中文正文)" w:cs="等线(中文正文)" w:eastAsia="等线(中文正文)"/>
          <w:b w:val="false"/>
          <w:i w:val="false"/>
          <w:sz w:val="20"/>
        </w:rPr>
        <w:t/>
      </w:r>
    </w:p>
    <w:p>
      <w:pPr>
        <w:pStyle w:val="ab"/>
      </w:pPr>
      <w:r>
        <w:t>发言人1 问：除了英伟达（NV）外，公司还有哪些其他客户？</w:t>
      </w:r>
    </w:p>
    <w:p>
      <w:r>
        <w:rPr>
          <w:rFonts w:ascii="等线(中文正文)" w:hAnsi="等线(中文正文)" w:cs="等线(中文正文)" w:eastAsia="等线(中文正文)"/>
          <w:b w:val="false"/>
          <w:i w:val="false"/>
          <w:sz w:val="20"/>
        </w:rPr>
        <w:t>发言人1 答：除了英伟达外，公司还与一些生态型客户有订单往来，但由于涉及商业敏感性问题，不便透露具体名单。此外，国内运营商中也有部分客户在今年有明确的订单。</w:t>
      </w:r>
    </w:p>
    <w:p>
      <w:r>
        <w:rPr>
          <w:rFonts w:ascii="等线(中文正文)" w:hAnsi="等线(中文正文)" w:cs="等线(中文正文)" w:eastAsia="等线(中文正文)"/>
          <w:b w:val="false"/>
          <w:i w:val="false"/>
          <w:sz w:val="20"/>
        </w:rPr>
        <w:t/>
      </w:r>
    </w:p>
    <w:p>
      <w:pPr>
        <w:pStyle w:val="ab"/>
      </w:pPr>
      <w:r>
        <w:t>发言人1 问：800伏到12伏的DCDC电源模块是开始送样还是已经批量出货？</w:t>
      </w:r>
    </w:p>
    <w:p>
      <w:r>
        <w:rPr>
          <w:rFonts w:ascii="等线(中文正文)" w:hAnsi="等线(中文正文)" w:cs="等线(中文正文)" w:eastAsia="等线(中文正文)"/>
          <w:b w:val="false"/>
          <w:i w:val="false"/>
          <w:sz w:val="20"/>
        </w:rPr>
        <w:t>发言人1 答：800伏到12伏的DCDC电源模块今年已经开始送样，并即将进入批量出货阶段。</w:t>
      </w:r>
    </w:p>
    <w:p>
      <w:r>
        <w:rPr>
          <w:rFonts w:ascii="等线(中文正文)" w:hAnsi="等线(中文正文)" w:cs="等线(中文正文)" w:eastAsia="等线(中文正文)"/>
          <w:b w:val="false"/>
          <w:i w:val="false"/>
          <w:sz w:val="20"/>
        </w:rPr>
        <w:t/>
      </w:r>
    </w:p>
    <w:p>
      <w:pPr>
        <w:pStyle w:val="ab"/>
      </w:pPr>
      <w:r>
        <w:t>发言人1 问：针对12伏到0.8伏等更低压等级的电源转换技术，公司的长期规划是什么？</w:t>
      </w:r>
    </w:p>
    <w:p>
      <w:r>
        <w:rPr>
          <w:rFonts w:ascii="等线(中文正文)" w:hAnsi="等线(中文正文)" w:cs="等线(中文正文)" w:eastAsia="等线(中文正文)"/>
          <w:b w:val="false"/>
          <w:i w:val="false"/>
          <w:sz w:val="20"/>
        </w:rPr>
        <w:t>发言人1 答：公司在预演低压高频电源转换技术，已在基本结构、控制理论及数字算法方面取得突破。今年将推出12伏到0.8伏的产品，而800伏到12伏、800伏到50伏等其他线路的产品已进入开发或样品阶段，但12伏到0.8伏的具体规划还在技术研究之中，公司将根据行业变化和技术进展逐步推进产品研发。</w:t>
      </w:r>
    </w:p>
    <w:p>
      <w:r>
        <w:rPr>
          <w:rFonts w:ascii="等线(中文正文)" w:hAnsi="等线(中文正文)" w:cs="等线(中文正文)" w:eastAsia="等线(中文正文)"/>
          <w:b w:val="false"/>
          <w:i w:val="false"/>
          <w:sz w:val="20"/>
        </w:rPr>
        <w:t/>
      </w:r>
    </w:p>
    <w:p>
      <w:pPr>
        <w:pStyle w:val="ab"/>
      </w:pPr>
      <w:r>
        <w:t>发言人1 问：首先，对于智能家电板块，今年的增长预期大概是怎样的？其次，一季度是否出现了原材料成本压力，公司是如何处理的？</w:t>
      </w:r>
    </w:p>
    <w:p>
      <w:r>
        <w:rPr>
          <w:rFonts w:ascii="等线(中文正文)" w:hAnsi="等线(中文正文)" w:cs="等线(中文正文)" w:eastAsia="等线(中文正文)"/>
          <w:b w:val="false"/>
          <w:i w:val="false"/>
          <w:sz w:val="20"/>
        </w:rPr>
        <w:t>发言人1 答：今年一季度智能家电板块实现了20%的增长，但我们管理层认为这个成绩并不满意，因为存在货发不出去的情况。尽管如此，目前在手订单充裕，预计二季度表现会比一季度更好，三季度在正常情况下也不会太差，但美伊战争带来的不确定性可能导致订单受影响。对于全年展望，电源、自动化和消费板块整体积极，尤其是电源和装备自动化预计会有不错的表现，因此全年业绩仍保持积极态度。</w:t>
      </w:r>
    </w:p>
    <w:p>
      <w:r>
        <w:rPr>
          <w:rFonts w:ascii="等线(中文正文)" w:hAnsi="等线(中文正文)" w:cs="等线(中文正文)" w:eastAsia="等线(中文正文)"/>
          <w:b w:val="false"/>
          <w:i w:val="false"/>
          <w:sz w:val="20"/>
        </w:rPr>
        <w:t/>
      </w:r>
    </w:p>
    <w:p>
      <w:pPr>
        <w:pStyle w:val="ab"/>
      </w:pPr>
      <w:r>
        <w:t>发言人1 问：公司在存货原材料方面如何应对当前全球成本压力的情况？</w:t>
      </w:r>
    </w:p>
    <w:p>
      <w:r>
        <w:rPr>
          <w:rFonts w:ascii="等线(中文正文)" w:hAnsi="等线(中文正文)" w:cs="等线(中文正文)" w:eastAsia="等线(中文正文)"/>
          <w:b w:val="false"/>
          <w:i w:val="false"/>
          <w:sz w:val="20"/>
        </w:rPr>
        <w:t>发言人1 答：面对原材料成本压力，公司在一季度采取了两项措施：一是继续优化存货管理，但这需要时间才能见效；二是向客户进行价格调整，已在一季度开始陆续实施。但由于宏观环境的不确定性，尤其是海外客户需求波动及供应链中的某些问题（如印度客户因当地电力问题无法生产），导致出货量未达预期。</w:t>
      </w:r>
    </w:p>
    <w:p>
      <w:r>
        <w:rPr>
          <w:rFonts w:ascii="等线(中文正文)" w:hAnsi="等线(中文正文)" w:cs="等线(中文正文)" w:eastAsia="等线(中文正文)"/>
          <w:b w:val="false"/>
          <w:i w:val="false"/>
          <w:sz w:val="20"/>
        </w:rPr>
        <w:t/>
      </w:r>
    </w:p>
    <w:p>
      <w:pPr>
        <w:pStyle w:val="ab"/>
      </w:pPr>
      <w:r>
        <w:t>发言人1 问：关于存量机房采用非HVDC 800伏方案并保留原有UPS架构的可能性以及技术储备情况？</w:t>
      </w:r>
    </w:p>
    <w:p>
      <w:r>
        <w:rPr>
          <w:rFonts w:ascii="等线(中文正文)" w:hAnsi="等线(中文正文)" w:cs="等线(中文正文)" w:eastAsia="等线(中文正文)"/>
          <w:b w:val="false"/>
          <w:i w:val="false"/>
          <w:sz w:val="20"/>
        </w:rPr>
        <w:t>发言人1 答：公司确实有针对非HVDC的大三代卡形式的技术储备，并且在技术形势下，公司的产品匹配工作也在同步进行。目前各种方案会被探讨，但公司主要聚焦于英伟达生态和满足市场需求，通过这两点可以覆盖大部分市场。此外，公司拥有快速响应客户需求的能力，从储备的技术来看，基本能满足国内大部分需求。</w:t>
      </w:r>
    </w:p>
    <w:p>
      <w:r>
        <w:rPr>
          <w:rFonts w:ascii="等线(中文正文)" w:hAnsi="等线(中文正文)" w:cs="等线(中文正文)" w:eastAsia="等线(中文正文)"/>
          <w:b w:val="false"/>
          <w:i w:val="false"/>
          <w:sz w:val="20"/>
        </w:rPr>
        <w:t/>
      </w:r>
    </w:p>
    <w:p>
      <w:pPr>
        <w:pStyle w:val="ab"/>
      </w:pPr>
      <w:r>
        <w:t>发言人1 问：公司在整个产品线中，终端客户是倾向于采购单个产品还是整体解决方案？</w:t>
      </w:r>
    </w:p>
    <w:p>
      <w:r>
        <w:rPr>
          <w:rFonts w:ascii="等线(中文正文)" w:hAnsi="等线(中文正文)" w:cs="等线(中文正文)" w:eastAsia="等线(中文正文)"/>
          <w:b w:val="false"/>
          <w:i w:val="false"/>
          <w:sz w:val="20"/>
        </w:rPr>
        <w:t>发言人1 答：根据目前接到的订单和已交付的部分订单情况，既有将power share、CBS等产品直接交给台湾服务器制造商的模式，也有直接发给运营商或最终客户的模式。公司欢迎任何形式的采购，并会根据客户需求进行沟通交流，了解真实需求以便提供更好的服务。最终决定权在于运营商自己，而公司会根据不同建设需求灵活匹配方案。</w:t>
      </w:r>
    </w:p>
    <w:p>
      <w:r>
        <w:rPr>
          <w:rFonts w:ascii="等线(中文正文)" w:hAnsi="等线(中文正文)" w:cs="等线(中文正文)" w:eastAsia="等线(中文正文)"/>
          <w:b w:val="false"/>
          <w:i w:val="false"/>
          <w:sz w:val="20"/>
        </w:rPr>
        <w:t/>
      </w:r>
    </w:p>
    <w:p>
      <w:pPr>
        <w:pStyle w:val="ab"/>
      </w:pPr>
      <w:r>
        <w:t>发言人1 问：在国内做变频器的行业中，你们公司为何选择从零开始建立平台，而不是沿用已有平台？</w:t>
      </w:r>
    </w:p>
    <w:p>
      <w:r>
        <w:rPr>
          <w:rFonts w:ascii="等线(中文正文)" w:hAnsi="等线(中文正文)" w:cs="等线(中文正文)" w:eastAsia="等线(中文正文)"/>
          <w:b w:val="false"/>
          <w:i w:val="false"/>
          <w:sz w:val="20"/>
        </w:rPr>
        <w:t>发言人1 答：我们选择从零开始建立平台是因为与其他公司在艾慕生华田等平台上工作不同，我们是从外部独立起步，没有现成平台可以依赖。为了实现自定义化需求和满足特定细分领域的需求，我们必须自己编写和构建源代码，这一过程十分艰难且资金投入较大。</w:t>
      </w:r>
    </w:p>
    <w:p>
      <w:r>
        <w:rPr>
          <w:rFonts w:ascii="等线(中文正文)" w:hAnsi="等线(中文正文)" w:cs="等线(中文正文)" w:eastAsia="等线(中文正文)"/>
          <w:b w:val="false"/>
          <w:i w:val="false"/>
          <w:sz w:val="20"/>
        </w:rPr>
        <w:t/>
      </w:r>
    </w:p>
    <w:p>
      <w:pPr>
        <w:pStyle w:val="ab"/>
      </w:pPr>
      <w:r>
        <w:t>发言人1 问：你们公司的发展策略是什么？</w:t>
      </w:r>
    </w:p>
    <w:p>
      <w:r>
        <w:rPr>
          <w:rFonts w:ascii="等线(中文正文)" w:hAnsi="等线(中文正文)" w:cs="等线(中文正文)" w:eastAsia="等线(中文正文)"/>
          <w:b w:val="false"/>
          <w:i w:val="false"/>
          <w:sz w:val="20"/>
        </w:rPr>
        <w:t>发言人1 答：我们的策略是在细分领域中先做好定制化产品，比如家电监控中的变频器，并逐渐做大之后再转向通用平台的建设。例如，我们在空调领域做的定制化变频器就有很大量，如果将这部分统计回来，加上电梯和其他装备的业务，我们的整体规模会非常庞大。</w:t>
      </w:r>
    </w:p>
    <w:p>
      <w:r>
        <w:rPr>
          <w:rFonts w:ascii="等线(中文正文)" w:hAnsi="等线(中文正文)" w:cs="等线(中文正文)" w:eastAsia="等线(中文正文)"/>
          <w:b w:val="false"/>
          <w:i w:val="false"/>
          <w:sz w:val="20"/>
        </w:rPr>
        <w:t/>
      </w:r>
    </w:p>
    <w:p>
      <w:pPr>
        <w:pStyle w:val="ab"/>
      </w:pPr>
      <w:r>
        <w:t>发言人1 问：在细分领域中，你们是如何保持竞争优势的？</w:t>
      </w:r>
    </w:p>
    <w:p>
      <w:r>
        <w:rPr>
          <w:rFonts w:ascii="等线(中文正文)" w:hAnsi="等线(中文正文)" w:cs="等线(中文正文)" w:eastAsia="等线(中文正文)"/>
          <w:b w:val="false"/>
          <w:i w:val="false"/>
          <w:sz w:val="20"/>
        </w:rPr>
        <w:t>发言人1 答：我们坚持走细分市场道路，不追求通用产品的竞争，而是在各个细分领域内开发专用产品和技术。例如，我们开发了独特的压缩机控制和制冷制热技术，并与国际知名公司合作。同时，我们在特殊电机技术如永磁同步电机开关控制等方面拥有独家技术，并将其应用于装备和焊接设备中。</w:t>
      </w:r>
    </w:p>
    <w:p>
      <w:r>
        <w:rPr>
          <w:rFonts w:ascii="等线(中文正文)" w:hAnsi="等线(中文正文)" w:cs="等线(中文正文)" w:eastAsia="等线(中文正文)"/>
          <w:b w:val="false"/>
          <w:i w:val="false"/>
          <w:sz w:val="20"/>
        </w:rPr>
        <w:t/>
      </w:r>
    </w:p>
    <w:p>
      <w:pPr>
        <w:pStyle w:val="ab"/>
      </w:pPr>
      <w:r>
        <w:t>发言人1 问：近期公司在哪些领域取得了增长？</w:t>
      </w:r>
    </w:p>
    <w:p>
      <w:r>
        <w:rPr>
          <w:rFonts w:ascii="等线(中文正文)" w:hAnsi="等线(中文正文)" w:cs="等线(中文正文)" w:eastAsia="等线(中文正文)"/>
          <w:b w:val="false"/>
          <w:i w:val="false"/>
          <w:sz w:val="20"/>
        </w:rPr>
        <w:t>发言人1 答：最近一年来，尽管整个工业自动化市场增长有限，但我们却实现了30%-40%的增长，并预计今年也会保持良好增长。主要得益于我们在电梯控制、变频器视图、电源技术和相关装备技术相结合方面，在细分领域内开发出众多产品，如悬架系统、泵、储能泵等。</w:t>
      </w:r>
    </w:p>
    <w:p>
      <w:r>
        <w:rPr>
          <w:rFonts w:ascii="等线(中文正文)" w:hAnsi="等线(中文正文)" w:cs="等线(中文正文)" w:eastAsia="等线(中文正文)"/>
          <w:b w:val="false"/>
          <w:i w:val="false"/>
          <w:sz w:val="20"/>
        </w:rPr>
        <w:t/>
      </w:r>
    </w:p>
    <w:p>
      <w:pPr>
        <w:pStyle w:val="ab"/>
      </w:pPr>
      <w:r>
        <w:t>发言人1 问：公司在技术上的定位是什么？</w:t>
      </w:r>
    </w:p>
    <w:p>
      <w:r>
        <w:rPr>
          <w:rFonts w:ascii="等线(中文正文)" w:hAnsi="等线(中文正文)" w:cs="等线(中文正文)" w:eastAsia="等线(中文正文)"/>
          <w:b w:val="false"/>
          <w:i w:val="false"/>
          <w:sz w:val="20"/>
        </w:rPr>
        <w:t>发言人1 答：公司认为工业自动化不仅仅是变频器和伺服POC，而是可以利用这些技术开发更多针对特定领域的专用产品。我们在动力转换、自动控制和系统通讯三大底层技术基础上，不断创新，比如汽车中的热管理、采油设备、焊机等领域的应用，以及工程机械、智慧生活等领域的变频和伺服技术应用。</w:t>
      </w:r>
    </w:p>
    <w:p>
      <w:r>
        <w:rPr>
          <w:rFonts w:ascii="等线(中文正文)" w:hAnsi="等线(中文正文)" w:cs="等线(中文正文)" w:eastAsia="等线(中文正文)"/>
          <w:b w:val="false"/>
          <w:i w:val="false"/>
          <w:sz w:val="20"/>
        </w:rPr>
        <w:t/>
      </w:r>
    </w:p>
    <w:p>
      <w:pPr>
        <w:pStyle w:val="ab"/>
      </w:pPr>
      <w:r>
        <w:t>发言人1 问：对于通用产品和专用产品的比重问题，您怎么看待？</w:t>
      </w:r>
    </w:p>
    <w:p>
      <w:r>
        <w:rPr>
          <w:rFonts w:ascii="等线(中文正文)" w:hAnsi="等线(中文正文)" w:cs="等线(中文正文)" w:eastAsia="等线(中文正文)"/>
          <w:b w:val="false"/>
          <w:i w:val="false"/>
          <w:sz w:val="20"/>
        </w:rPr>
        <w:t>发言人1 答：我们在通用产品方面占比较少，因为市场竞争激烈且市场已趋于饱和，而我们在各个细分领域的专用产品则发展得不错。随着平台的形成，我们也开始推出一些通用产品，如520紧凑型M3通，目前正受到众多客户的关注与合作意向。</w:t>
      </w:r>
    </w:p>
    <w:p>
      <w:r>
        <w:rPr>
          <w:rFonts w:ascii="等线(中文正文)" w:hAnsi="等线(中文正文)" w:cs="等线(中文正文)" w:eastAsia="等线(中文正文)"/>
          <w:b w:val="false"/>
          <w:i w:val="false"/>
          <w:sz w:val="20"/>
        </w:rPr>
        <w:t/>
      </w:r>
    </w:p>
    <w:p>
      <w:pPr>
        <w:pStyle w:val="ab"/>
      </w:pPr>
      <w:r>
        <w:t>发言人1 问：能否分享一下在DAI电源GB系列和LV系列的开发过程中，公司是如何追平竞争对手并实现技术突破的？</w:t>
      </w:r>
    </w:p>
    <w:p>
      <w:r>
        <w:rPr>
          <w:rFonts w:ascii="等线(中文正文)" w:hAnsi="等线(中文正文)" w:cs="等线(中文正文)" w:eastAsia="等线(中文正文)"/>
          <w:b w:val="false"/>
          <w:i w:val="false"/>
          <w:sz w:val="20"/>
        </w:rPr>
        <w:t>发言人1 答：这个过程是行业变化倒逼出来的，我们意识到单一产品无法在市场中立足，因此不断拓展产品线，提供整体解决方案。对于DAI电源GB系列和LV系列，我们在持续创新和积累中逐步缩小与竞争对手的差距，并最终实现技术上的追平。</w:t>
      </w:r>
    </w:p>
    <w:p>
      <w:r>
        <w:rPr>
          <w:rFonts w:ascii="等线(中文正文)" w:hAnsi="等线(中文正文)" w:cs="等线(中文正文)" w:eastAsia="等线(中文正文)"/>
          <w:b w:val="false"/>
          <w:i w:val="false"/>
          <w:sz w:val="20"/>
        </w:rPr>
        <w:t/>
      </w:r>
    </w:p>
    <w:p>
      <w:pPr>
        <w:pStyle w:val="ab"/>
      </w:pPr>
      <w:r>
        <w:t>发言人1 问：公司目前在var bin领域测试进度已达齐平水平，下一步量产成为主题供应商时，面临哪些挑战？</w:t>
      </w:r>
    </w:p>
    <w:p>
      <w:r>
        <w:rPr>
          <w:rFonts w:ascii="等线(中文正文)" w:hAnsi="等线(中文正文)" w:cs="等线(中文正文)" w:eastAsia="等线(中文正文)"/>
          <w:b w:val="false"/>
          <w:i w:val="false"/>
          <w:sz w:val="20"/>
        </w:rPr>
        <w:t>发言人1 答：要成为主力供应商，我们需要解决的问题和挑战包括但不限于提升产品质量稳定性、扩大生产规模、优化供应链管理等。同时，我们也需关注市场需求变化，灵活调整生产计划和技术方案，以确保能够持续满足客户需求并抢占市场份额。</w:t>
      </w:r>
    </w:p>
    <w:p>
      <w:r>
        <w:rPr>
          <w:rFonts w:ascii="等线(中文正文)" w:hAnsi="等线(中文正文)" w:cs="等线(中文正文)" w:eastAsia="等线(中文正文)"/>
          <w:b w:val="false"/>
          <w:i w:val="false"/>
          <w:sz w:val="20"/>
        </w:rPr>
        <w:t/>
      </w:r>
    </w:p>
    <w:p>
      <w:pPr>
        <w:pStyle w:val="ab"/>
      </w:pPr>
      <w:r>
        <w:t>发言人1 问：你们的底层逻辑是什么，如何与客户建立紧密依赖性？</w:t>
      </w:r>
    </w:p>
    <w:p>
      <w:r>
        <w:rPr>
          <w:rFonts w:ascii="等线(中文正文)" w:hAnsi="等线(中文正文)" w:cs="等线(中文正文)" w:eastAsia="等线(中文正文)"/>
          <w:b w:val="false"/>
          <w:i w:val="false"/>
          <w:sz w:val="20"/>
        </w:rPr>
        <w:t>发言人1 答：我们的底层逻辑是要确保产品线全面，涵盖国内外大客户所需的各种产品，如SST、肉饼、刷的卡等。这样做的好处在于增大客户的工作量，并且在研发组织管理模式、开发过程、测试认证、生产制造采购以及销售模式等方面，全面投入能够使费用分摊更合理。同时，全方位的产品供应有助于增强客户粘性，提升品牌议价能力和展会关注度。</w:t>
      </w:r>
    </w:p>
    <w:p>
      <w:r>
        <w:rPr>
          <w:rFonts w:ascii="等线(中文正文)" w:hAnsi="等线(中文正文)" w:cs="等线(中文正文)" w:eastAsia="等线(中文正文)"/>
          <w:b w:val="false"/>
          <w:i w:val="false"/>
          <w:sz w:val="20"/>
        </w:rPr>
        <w:t/>
      </w:r>
    </w:p>
    <w:p>
      <w:pPr>
        <w:pStyle w:val="ab"/>
      </w:pPr>
      <w:r>
        <w:t>发言人1 问：您提到的体系化运作如何体现？</w:t>
      </w:r>
    </w:p>
    <w:p>
      <w:r>
        <w:rPr>
          <w:rFonts w:ascii="等线(中文正文)" w:hAnsi="等线(中文正文)" w:cs="等线(中文正文)" w:eastAsia="等线(中文正文)"/>
          <w:b w:val="false"/>
          <w:i w:val="false"/>
          <w:sz w:val="20"/>
        </w:rPr>
        <w:t>发言人1 答：体系化运作体现在多个方面，例如AI数据中心从电网到芯片的全套解决方案，以及交通、智慧生活、工业自动化、智能装备等领域的整体解决方案。其中，界面连接是我们单独无法提供的，只有当多个产品打包提供时，才能有效减少客户寻找供应商的工作强度，从而形成客户对我们的深度依赖。</w:t>
      </w:r>
    </w:p>
    <w:p>
      <w:r>
        <w:rPr>
          <w:rFonts w:ascii="等线(中文正文)" w:hAnsi="等线(中文正文)" w:cs="等线(中文正文)" w:eastAsia="等线(中文正文)"/>
          <w:b w:val="false"/>
          <w:i w:val="false"/>
          <w:sz w:val="20"/>
        </w:rPr>
        <w:t/>
      </w:r>
    </w:p>
    <w:p>
      <w:pPr>
        <w:pStyle w:val="ab"/>
      </w:pPr>
      <w:r>
        <w:t>发言人1 问：公司在不同行业和细分市场的布局策略是怎样的？</w:t>
      </w:r>
    </w:p>
    <w:p>
      <w:r>
        <w:rPr>
          <w:rFonts w:ascii="等线(中文正文)" w:hAnsi="等线(中文正文)" w:cs="等线(中文正文)" w:eastAsia="等线(中文正文)"/>
          <w:b w:val="false"/>
          <w:i w:val="false"/>
          <w:sz w:val="20"/>
        </w:rPr>
        <w:t>发言人1 答：公司在各个行业如焊接、石油开采等都有良好的布局和发展，收入逐年增长。每个新领域的发展都基于技术延伸或客户需求理解的逻辑，确保扩张是最低风险且聚焦熟悉的行业。同时，在组织管理上也有创新变革，通过资源整合和全员参与，快速推出新产品并深入对接客户需求。</w:t>
      </w:r>
    </w:p>
    <w:p>
      <w:r>
        <w:rPr>
          <w:rFonts w:ascii="等线(中文正文)" w:hAnsi="等线(中文正文)" w:cs="等线(中文正文)" w:eastAsia="等线(中文正文)"/>
          <w:b w:val="false"/>
          <w:i w:val="false"/>
          <w:sz w:val="20"/>
        </w:rPr>
        <w:t/>
      </w:r>
    </w:p>
    <w:p>
      <w:pPr>
        <w:pStyle w:val="ab"/>
      </w:pPr>
      <w:r>
        <w:t>发言人1 问：关于数据中心电源业务的未来地位及市场空间问题？</w:t>
      </w:r>
    </w:p>
    <w:p>
      <w:r>
        <w:rPr>
          <w:rFonts w:ascii="等线(中文正文)" w:hAnsi="等线(中文正文)" w:cs="等线(中文正文)" w:eastAsia="等线(中文正文)"/>
          <w:b w:val="false"/>
          <w:i w:val="false"/>
          <w:sz w:val="20"/>
        </w:rPr>
        <w:t>发言人1 答：在数据中心电源领域，公司已实现全系列布局，并与众多客户保持紧密联系。对于非PSU电源产品如PFU电源，其目前的地位和未来成为主力供应商的时间点，主要取决于速度、客户沟通、产品开发能力及管理能力。同时，公司有信心通过持续努力，在数据中心SST领域继续保持领先地位，满足客户特定需求，并确保产品特性与应用场景紧密结合。</w:t>
      </w:r>
    </w:p>
    <w:p>
      <w:r>
        <w:rPr>
          <w:rFonts w:ascii="等线(中文正文)" w:hAnsi="等线(中文正文)" w:cs="等线(中文正文)" w:eastAsia="等线(中文正文)"/>
          <w:b w:val="false"/>
          <w:i w:val="false"/>
          <w:sz w:val="20"/>
        </w:rPr>
        <w:t/>
      </w:r>
    </w:p>
    <w:p>
      <w:pPr>
        <w:pStyle w:val="ab"/>
      </w:pPr>
      <w:r>
        <w:t>发言人1 问：产能准备情况如何？</w:t>
      </w:r>
    </w:p>
    <w:p>
      <w:r>
        <w:rPr>
          <w:rFonts w:ascii="等线(中文正文)" w:hAnsi="等线(中文正文)" w:cs="等线(中文正文)" w:eastAsia="等线(中文正文)"/>
          <w:b w:val="false"/>
          <w:i w:val="false"/>
          <w:sz w:val="20"/>
        </w:rPr>
        <w:t>发言人1 答：产能建设方面，公司在国内外均有布局，包括国内株洲和泰国的生产基地都在积极推进自动化生产线的建设和产能扩充。初期强调生产线灵活性以应对订单不稳定情况，随着产量增加，自动化程度将逐步提高。资金方面，已通过一轮融资确保有足够的资金支持产线建设和自动化程度推进，产能建设工作均按计划落实中。</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