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宁波华翔 260428_导读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营业收入 净利润 毛利率 汇率损益 智能底盘 智能机器人 原材料成本 海外业务 资产负债率 现金股利 客户结构 产品升级 模块化采购 自动驾驶 硬件平台 OEM模式 关节模组 全价值链布局 机器人骨骼件 原材料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宁波银行领导和技术负责人汇报了公司2025年度及2026年第一季度业绩，尽管面对市场挑战，营收与净利润仍实现增长，通过战略转型和业务调整应对海外不利影响。公司强调未来将聚焦产品升级、新产业培育及数字化转型，以确保长期稳定增长。在与投资者的互动中，针对毛利率、机器人业务出货量及海外业务布局的提问，公司展现了积极应对策略和对市场动态的深刻理解。</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宁波银行2025年业绩回顾与2026年Q1财务表现</w:t>
      </w:r>
    </w:p>
    <w:p>
      <w:r>
        <w:rPr>
          <w:rFonts w:ascii="等线(中文正文)" w:hAnsi="等线(中文正文)" w:cs="等线(中文正文)" w:eastAsia="等线(中文正文)"/>
          <w:b w:val="false"/>
          <w:i w:val="false"/>
          <w:sz w:val="20"/>
        </w:rPr>
        <w:t>会议回顾了宁波银行2025年业绩，营收261.85亿元，下降0.53%，净利润增长46.43%。2026年Q1营收51.69亿元，下降17.43%，净利润2.72亿元，增长6.63%。主要受汇率影响及海外业务剥离，公司调整战略，培育新产业，保持财务稳健。</w:t>
      </w:r>
    </w:p>
    <w:p>
      <w:r>
        <w:rPr>
          <w:rFonts w:ascii="等线(中文正文)" w:hAnsi="等线(中文正文)" w:cs="等线(中文正文)" w:eastAsia="等线(中文正文)"/>
          <w:b w:val="false"/>
          <w:i w:val="false"/>
          <w:sz w:val="20"/>
        </w:rPr>
        <w:t/>
      </w:r>
    </w:p>
    <w:p>
      <w:pPr>
        <w:pStyle w:val="ab"/>
        <w:numPr>
          <w:numId w:val="2"/>
        </w:numPr>
      </w:pPr>
      <w:r>
        <w:t>03:49 公司未来五年发展战略与智能底盘布局</w:t>
      </w:r>
    </w:p>
    <w:p>
      <w:r>
        <w:rPr>
          <w:rFonts w:ascii="等线(中文正文)" w:hAnsi="等线(中文正文)" w:cs="等线(中文正文)" w:eastAsia="等线(中文正文)"/>
          <w:b w:val="false"/>
          <w:i w:val="false"/>
          <w:sz w:val="20"/>
        </w:rPr>
        <w:t>公司制定了未来五年的发展战略，包括重塑顶层设计、优化资源投入新兴产业和新产品开发，以及推动现有主营业务升级。具体措施包括与芬兰公司合作推出高性价比内饰解决方案，调整采购策略以适应智能驾驶趋势，优化客户结构，特别是增加自主品牌的营收占比。海外战略方面，公司将差异化推进，北美业务重心在于稳定运营和提高产能利用率。2025年，公司将深入汽车智能底盘领域，成立宁波华宇游戏科技有限公司，与吉利集团合作开发智能悬架系统，并探索与自动驾驶公司合作，打造适配自动驾驶的硬件平台。目标是在五年内将智能底盘系统发展成为公司的支柱业务。</w:t>
      </w:r>
    </w:p>
    <w:p>
      <w:r>
        <w:rPr>
          <w:rFonts w:ascii="等线(中文正文)" w:hAnsi="等线(中文正文)" w:cs="等线(中文正文)" w:eastAsia="等线(中文正文)"/>
          <w:b w:val="false"/>
          <w:i w:val="false"/>
          <w:sz w:val="20"/>
        </w:rPr>
        <w:t/>
      </w:r>
    </w:p>
    <w:p>
      <w:pPr>
        <w:pStyle w:val="ab"/>
        <w:numPr>
          <w:numId w:val="3"/>
        </w:numPr>
      </w:pPr>
      <w:r>
        <w:t>09:02 宁波华强启源科技公司布局智能机器人赛道的发展策略</w:t>
      </w:r>
    </w:p>
    <w:p>
      <w:r>
        <w:rPr>
          <w:rFonts w:ascii="等线(中文正文)" w:hAnsi="等线(中文正文)" w:cs="等线(中文正文)" w:eastAsia="等线(中文正文)"/>
          <w:b w:val="false"/>
          <w:i w:val="false"/>
          <w:sz w:val="20"/>
        </w:rPr>
        <w:t>宁波华强启源科技公司自2025年6月成立以来，聚焦智能机器人赛道，通过代工业务向OEM业务转型，强化硬件设计能力，构建智能硬件一站式平台。公司与多家企业合作，生产关键模组，采用OEM模式降低成本，预计2026年营收将显著提升。此外，公司正通过全价值链布局，打造差异化机器人零件产品矩阵，计划在上海张江设立研发中心，推动产品测试迭代，目标在2026年应用量产项目，重塑运动环境，展示其在智能机器人领域的战略规划和执行能力。</w:t>
      </w:r>
    </w:p>
    <w:p>
      <w:r>
        <w:rPr>
          <w:rFonts w:ascii="等线(中文正文)" w:hAnsi="等线(中文正文)" w:cs="等线(中文正文)" w:eastAsia="等线(中文正文)"/>
          <w:b w:val="false"/>
          <w:i w:val="false"/>
          <w:sz w:val="20"/>
        </w:rPr>
        <w:t/>
      </w:r>
    </w:p>
    <w:p>
      <w:pPr>
        <w:pStyle w:val="ab"/>
        <w:numPr>
          <w:numId w:val="4"/>
        </w:numPr>
      </w:pPr>
      <w:r>
        <w:t>13:33 毛利率压力与机器人出货预期</w:t>
      </w:r>
    </w:p>
    <w:p>
      <w:r>
        <w:rPr>
          <w:rFonts w:ascii="等线(中文正文)" w:hAnsi="等线(中文正文)" w:cs="等线(中文正文)" w:eastAsia="等线(中文正文)"/>
          <w:b w:val="false"/>
          <w:i w:val="false"/>
          <w:sz w:val="20"/>
        </w:rPr>
        <w:t>对话围绕毛利率下降原因及未来毛利率维持计划展开，提及原材料成本上涨和产量下滑影响。同时，讨论了机器人业务的年度出货预期及资产量级收取情况，展望了开拓新客户的初步性计划。</w:t>
      </w:r>
    </w:p>
    <w:p>
      <w:r>
        <w:rPr>
          <w:rFonts w:ascii="等线(中文正文)" w:hAnsi="等线(中文正文)" w:cs="等线(中文正文)" w:eastAsia="等线(中文正文)"/>
          <w:b w:val="false"/>
          <w:i w:val="false"/>
          <w:sz w:val="20"/>
        </w:rPr>
        <w:t/>
      </w:r>
    </w:p>
    <w:p>
      <w:pPr>
        <w:pStyle w:val="ab"/>
        <w:numPr>
          <w:numId w:val="5"/>
        </w:numPr>
      </w:pPr>
      <w:r>
        <w:t>17:13 2025-2026年机器人业务营收规划与汇率风险管理</w:t>
      </w:r>
    </w:p>
    <w:p>
      <w:r>
        <w:rPr>
          <w:rFonts w:ascii="等线(中文正文)" w:hAnsi="等线(中文正文)" w:cs="等线(中文正文)" w:eastAsia="等线(中文正文)"/>
          <w:b w:val="false"/>
          <w:i w:val="false"/>
          <w:sz w:val="20"/>
        </w:rPr>
        <w:t>2025年机器人业务营收已突破3500万，2026年目标突破2亿，主要通过智能应用、代工、狗类产品销售及海外二次开发销售实现。预计狗类产品将贡献数千万营收，终端销售应用场景主要为中低端巡检搜救。针对汇率损益，正与外资机构制定方案，以平滑报表影响，降低集团负债表风险。</w:t>
      </w:r>
    </w:p>
    <w:p>
      <w:r>
        <w:rPr>
          <w:rFonts w:ascii="等线(中文正文)" w:hAnsi="等线(中文正文)" w:cs="等线(中文正文)" w:eastAsia="等线(中文正文)"/>
          <w:b w:val="false"/>
          <w:i w:val="false"/>
          <w:sz w:val="20"/>
        </w:rPr>
        <w:t/>
      </w:r>
    </w:p>
    <w:p>
      <w:pPr>
        <w:pStyle w:val="ab"/>
        <w:numPr>
          <w:numId w:val="6"/>
        </w:numPr>
      </w:pPr>
      <w:r>
        <w:t>22:18 皮革材料在机器人领域的应用与进展</w:t>
      </w:r>
    </w:p>
    <w:p>
      <w:r>
        <w:rPr>
          <w:rFonts w:ascii="等线(中文正文)" w:hAnsi="等线(中文正文)" w:cs="等线(中文正文)" w:eastAsia="等线(中文正文)"/>
          <w:b w:val="false"/>
          <w:i w:val="false"/>
          <w:sz w:val="20"/>
        </w:rPr>
        <w:t>对话深入探讨了皮革材料在机器人关键部件上的应用潜力，尤其是上肢替代品的开发与测试。强调了材料减重对机器人性能的显著提升，包括续航、安全性和灵活性。讨论了与行业伙伴合作的重要性，以及全价值链布局的战略意义。指出尽管面临长期测试周期和潜在模仿风险，企业正积极推进技术验证与市场推广，确保技术领先和竞争优势。</w:t>
      </w:r>
    </w:p>
    <w:p>
      <w:r>
        <w:rPr>
          <w:rFonts w:ascii="等线(中文正文)" w:hAnsi="等线(中文正文)" w:cs="等线(中文正文)" w:eastAsia="等线(中文正文)"/>
          <w:b w:val="false"/>
          <w:i w:val="false"/>
          <w:sz w:val="20"/>
        </w:rPr>
        <w:t/>
      </w:r>
    </w:p>
    <w:p>
      <w:pPr>
        <w:pStyle w:val="ab"/>
        <w:numPr>
          <w:numId w:val="7"/>
        </w:numPr>
      </w:pPr>
      <w:r>
        <w:t>26:54 智能底盘与海外市场收入展望</w:t>
      </w:r>
    </w:p>
    <w:p>
      <w:r>
        <w:rPr>
          <w:rFonts w:ascii="等线(中文正文)" w:hAnsi="等线(中文正文)" w:cs="等线(中文正文)" w:eastAsia="等线(中文正文)"/>
          <w:b w:val="false"/>
          <w:i w:val="false"/>
          <w:sz w:val="20"/>
        </w:rPr>
        <w:t>对话围绕智能底盘的正向贡献时间和中长期目标展开，预计2027年底实现正向营收，2030年目标贡献50%以上收入。同时，讨论了北美和东南亚市场的收入与利润拆分，预测2026年北美收入将显著增长，东南亚市场保持稳定盈利趋势。</w:t>
      </w:r>
    </w:p>
    <w:p>
      <w:r>
        <w:rPr>
          <w:rFonts w:ascii="等线(中文正文)" w:hAnsi="等线(中文正文)" w:cs="等线(中文正文)" w:eastAsia="等线(中文正文)"/>
          <w:b w:val="false"/>
          <w:i w:val="false"/>
          <w:sz w:val="20"/>
        </w:rPr>
        <w:t/>
      </w:r>
    </w:p>
    <w:p>
      <w:pPr>
        <w:pStyle w:val="ab"/>
        <w:numPr>
          <w:numId w:val="8"/>
        </w:numPr>
      </w:pPr>
      <w:r>
        <w:t>32:40 机器人业务盈利能力与亏损覆盖策略探讨</w:t>
      </w:r>
    </w:p>
    <w:p>
      <w:r>
        <w:rPr>
          <w:rFonts w:ascii="等线(中文正文)" w:hAnsi="等线(中文正文)" w:cs="等线(中文正文)" w:eastAsia="等线(中文正文)"/>
          <w:b w:val="false"/>
          <w:i w:val="false"/>
          <w:sz w:val="20"/>
        </w:rPr>
        <w:t>讨论了机器人业务的中长期盈利能力，指出当前毛利率为11%，并分析了研发与市场推广导致的5000万以上亏损。强调了研发团队的重要性及未来在零部件业务上的市场推动计划，但对2026年的盈利状况持谨慎态度。</w:t>
      </w:r>
    </w:p>
    <w:p>
      <w:r>
        <w:rPr>
          <w:rFonts w:ascii="等线(中文正文)" w:hAnsi="等线(中文正文)" w:cs="等线(中文正文)" w:eastAsia="等线(中文正文)"/>
          <w:b w:val="false"/>
          <w:i w:val="false"/>
          <w:sz w:val="20"/>
        </w:rPr>
        <w:t/>
      </w:r>
    </w:p>
    <w:p>
      <w:pPr>
        <w:pStyle w:val="ab"/>
        <w:numPr>
          <w:numId w:val="9"/>
        </w:numPr>
      </w:pPr>
      <w:r>
        <w:t>36:21 公司一季度经营情况说明与未来布局</w:t>
      </w:r>
    </w:p>
    <w:p>
      <w:r>
        <w:rPr>
          <w:rFonts w:ascii="等线(中文正文)" w:hAnsi="等线(中文正文)" w:cs="等线(中文正文)" w:eastAsia="等线(中文正文)"/>
          <w:b w:val="false"/>
          <w:i w:val="false"/>
          <w:sz w:val="20"/>
        </w:rPr>
        <w:t>会议中提到，公司一季度经营受市场影响，但整体健康平稳，无需过度担忧。公司将继续推进三位一体业务布局，包括杭州成都乳业发展等战略工程，呼吁大家关注与支持。会议最后表达了对参与者的感谢，并祝愿生活愉快。</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主持宁波银行2025年度业绩及2026年第一季度线上交流会，讨论了公司业绩、业务变化和未来战略。2025年，公司在电动化和智能化汽车市场的转型过程中，面对海外业务挑战，营收和净利润分别下降了0.53%和56.12%，但通过非经常性损益调整后，净利润增加46.43%，显示出公司的经营韧性。进入2026年第一季度，受海外业务影响，营收同比下降17.43%，然而净利润却实现了6.63%的同比增长，进一步证明了宁波银行的稳健运营能力。
面对挑战，他指出公司正在积极调整战略，重视新兴产业和新产品的开发，规划未来五年的发展蓝图。这包括深耕现有主业，同时拓展如智能底盘等新业务领域，以及布局机器人等前沿赛道。同时，宁波银行正采取措施应对汇率波动和成本上涨等外部挑战，以确保长期稳定发展。他强调，在挑战中寻找机遇，通过策略调整，宁波银行正朝着持续增长的目标迈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问：2026年度第一季度公司的经营状况如何？</w:t>
      </w:r>
    </w:p>
    <w:p>
      <w:r>
        <w:rPr>
          <w:rFonts w:ascii="等线(中文正文)" w:hAnsi="等线(中文正文)" w:cs="等线(中文正文)" w:eastAsia="等线(中文正文)"/>
          <w:b w:val="false"/>
          <w:i w:val="false"/>
          <w:sz w:val="20"/>
        </w:rPr>
        <w:t>发言人1 答：2026年度第一季度，公司实现营业收入51.69亿元，同比下降17.43%，主要归因于海外业务的影响。尽管如此，规模净利润为2.72元，同比增长6.63%，体现了公司在经营上的韧性。同时，客户收益为1.8亿元，同比下降4500万，主要受汇率损益和营收下滑等因素影响。</w:t>
      </w:r>
    </w:p>
    <w:p>
      <w:r>
        <w:rPr>
          <w:rFonts w:ascii="等线(中文正文)" w:hAnsi="等线(中文正文)" w:cs="等线(中文正文)" w:eastAsia="等线(中文正文)"/>
          <w:b w:val="false"/>
          <w:i w:val="false"/>
          <w:sz w:val="20"/>
        </w:rPr>
        <w:t/>
      </w:r>
    </w:p>
    <w:p>
      <w:pPr>
        <w:pStyle w:val="ab"/>
      </w:pPr>
      <w:r>
        <w:t>发言人1 问：公司未来的战略规划是什么？</w:t>
      </w:r>
    </w:p>
    <w:p>
      <w:r>
        <w:rPr>
          <w:rFonts w:ascii="等线(中文正文)" w:hAnsi="等线(中文正文)" w:cs="等线(中文正文)" w:eastAsia="等线(中文正文)"/>
          <w:b w:val="false"/>
          <w:i w:val="false"/>
          <w:sz w:val="20"/>
        </w:rPr>
        <w:t>发言人1 答：公司制定了未来五年的发展战略，重塑了整个公司的顶层设计。2025年公司将剥离长期拖累业绩的高资产，将资源和精力投入到新兴产业和新产品的开发，以夯实主业并推动公司平稳快速发展。具体措施包括优化现有主营业务客户结构，推动产品升级，以及围绕智能驾驶发展趋势投资新产业，如智能底盘等，形成新的业绩增长点。</w:t>
      </w:r>
    </w:p>
    <w:p>
      <w:r>
        <w:rPr>
          <w:rFonts w:ascii="等线(中文正文)" w:hAnsi="等线(中文正文)" w:cs="等线(中文正文)" w:eastAsia="等线(中文正文)"/>
          <w:b w:val="false"/>
          <w:i w:val="false"/>
          <w:sz w:val="20"/>
        </w:rPr>
        <w:t/>
      </w:r>
    </w:p>
    <w:p>
      <w:pPr>
        <w:pStyle w:val="ab"/>
      </w:pPr>
      <w:r>
        <w:t>发言人1 问：公司在客户端和海外市场的发展策略是怎样的？</w:t>
      </w:r>
    </w:p>
    <w:p>
      <w:r>
        <w:rPr>
          <w:rFonts w:ascii="等线(中文正文)" w:hAnsi="等线(中文正文)" w:cs="等线(中文正文)" w:eastAsia="等线(中文正文)"/>
          <w:b w:val="false"/>
          <w:i w:val="false"/>
          <w:sz w:val="20"/>
        </w:rPr>
        <w:t>发言人1 答：在国内市场方面，公司将持续迭代客户节奏，预计2026年自主品牌营收占比接近50%，新订单年化营业收入为72.76亿，其中自主品牌占比61%。在海外市场，尽管2025年进行了大规模收缩，但仍将海外市场作为重要战略支点，采取差异化的策略，尤其是关注北美业务的稳定运营和产能提升，同时保持对欧洲、南美地区的关注。</w:t>
      </w:r>
    </w:p>
    <w:p>
      <w:r>
        <w:rPr>
          <w:rFonts w:ascii="等线(中文正文)" w:hAnsi="等线(中文正文)" w:cs="等线(中文正文)" w:eastAsia="等线(中文正文)"/>
          <w:b w:val="false"/>
          <w:i w:val="false"/>
          <w:sz w:val="20"/>
        </w:rPr>
        <w:t/>
      </w:r>
    </w:p>
    <w:p>
      <w:pPr>
        <w:pStyle w:val="ab"/>
      </w:pPr>
      <w:r>
        <w:t>发言人1 问：公司如何布局智能汽车领域？</w:t>
      </w:r>
    </w:p>
    <w:p>
      <w:r>
        <w:rPr>
          <w:rFonts w:ascii="等线(中文正文)" w:hAnsi="等线(中文正文)" w:cs="等线(中文正文)" w:eastAsia="等线(中文正文)"/>
          <w:b w:val="false"/>
          <w:i w:val="false"/>
          <w:sz w:val="20"/>
        </w:rPr>
        <w:t>发言人1 答：公司基于对未来汽车市场的判断以及自身技术和品质基础，在2025年初决定深入布局智能汽车领域。同年9月成立了宁波华宇游戏科技有限公司，并计划以核心自研方式投资智能底盘三大系统。目前已与吉利集团下属的浙江安智汽车科技有限公司合作成立华翔安智智能悬架系统上海有限公司，首个项目已落地。未来，公司将启动转向相关的项目，并正与自动驾驶公司开展深度合作，打造与自动驾驶适配的硬件平台，探索商业模式创新及配套座舱系统、底盘系统等产品。</w:t>
      </w:r>
    </w:p>
    <w:p>
      <w:r>
        <w:rPr>
          <w:rFonts w:ascii="等线(中文正文)" w:hAnsi="等线(中文正文)" w:cs="等线(中文正文)" w:eastAsia="等线(中文正文)"/>
          <w:b w:val="false"/>
          <w:i w:val="false"/>
          <w:sz w:val="20"/>
        </w:rPr>
        <w:t/>
      </w:r>
    </w:p>
    <w:p>
      <w:pPr>
        <w:pStyle w:val="ab"/>
      </w:pPr>
      <w:r>
        <w:t>发言人1 问：公司的智能机器人硬件本体业务目前的发展状况如何？</w:t>
      </w:r>
    </w:p>
    <w:p>
      <w:r>
        <w:rPr>
          <w:rFonts w:ascii="等线(中文正文)" w:hAnsi="等线(中文正文)" w:cs="等线(中文正文)" w:eastAsia="等线(中文正文)"/>
          <w:b w:val="false"/>
          <w:i w:val="false"/>
          <w:sz w:val="20"/>
        </w:rPr>
        <w:t>发言人1 答：公司自2025年6月成立宁波华强启源科技有限公司并进入智能机器人赛道以来，规划清晰，推进扎实。目前在智能机器人的硬件本体领域，已从代工业务逐步发展到OEM业务，并逐步增强硬件设计能力，形成了机身智能硬件一站式平台。2020年7月至12月期间，作为智能远程系列关节本体总成及智能远征系列本体总成的代工厂商，共完成了1198台智能影音系列机型的生产，积累了大量相关经验。预计2026年公司将承接另外两家投顾机器人管理企业的关键模组以及全体统筹外部业务。</w:t>
      </w:r>
    </w:p>
    <w:p>
      <w:r>
        <w:rPr>
          <w:rFonts w:ascii="等线(中文正文)" w:hAnsi="等线(中文正文)" w:cs="等线(中文正文)" w:eastAsia="等线(中文正文)"/>
          <w:b w:val="false"/>
          <w:i w:val="false"/>
          <w:sz w:val="20"/>
        </w:rPr>
        <w:t/>
      </w:r>
    </w:p>
    <w:p>
      <w:pPr>
        <w:pStyle w:val="ab"/>
      </w:pPr>
      <w:r>
        <w:t>发言人1 问：公司在智能机器人领域有哪些具体的合作案例和产品规划？</w:t>
      </w:r>
    </w:p>
    <w:p>
      <w:r>
        <w:rPr>
          <w:rFonts w:ascii="等线(中文正文)" w:hAnsi="等线(中文正文)" w:cs="等线(中文正文)" w:eastAsia="等线(中文正文)"/>
          <w:b w:val="false"/>
          <w:i w:val="false"/>
          <w:sz w:val="20"/>
        </w:rPr>
        <w:t>发言人1 答：公司与上海巴士之王开展了深入合作，正在为其生产智能机器人关键模组，并计划在细分全面领域进一步扩大合作。同时，公司采用OEM模式与杭州前期未来合作，生产通信端的自行等对标行业内优秀产品的M20系列机器人，预计推向市场的价格将比现有产品低30%以上，目标在2026年实现销售约1000台，为公司贡献有效营收。</w:t>
      </w:r>
    </w:p>
    <w:p>
      <w:r>
        <w:rPr>
          <w:rFonts w:ascii="等线(中文正文)" w:hAnsi="等线(中文正文)" w:cs="等线(中文正文)" w:eastAsia="等线(中文正文)"/>
          <w:b w:val="false"/>
          <w:i w:val="false"/>
          <w:sz w:val="20"/>
        </w:rPr>
        <w:t/>
      </w:r>
    </w:p>
    <w:p>
      <w:pPr>
        <w:pStyle w:val="ab"/>
      </w:pPr>
      <w:r>
        <w:t>发言人1 问：公司在机器人零件产品矩阵方面的布局和发展情况怎样？</w:t>
      </w:r>
    </w:p>
    <w:p>
      <w:r>
        <w:rPr>
          <w:rFonts w:ascii="等线(中文正文)" w:hAnsi="等线(中文正文)" w:cs="等线(中文正文)" w:eastAsia="等线(中文正文)"/>
          <w:b w:val="false"/>
          <w:i w:val="false"/>
          <w:sz w:val="20"/>
        </w:rPr>
        <w:t>发言人1 答：公司目前是全球唯一一家拥有扎实的全价值链布局，打造具备差异化优势的机器人零件产品矩阵的企业。公司专注于从汽车技术的材料成型工艺开发出机器人骨骼件和关节件，并将在今年年底加速固化工厂的建设，从客户渠道、产品开发、工艺、模具、材料成本等方面形成全方位一体化的竞争优势和护城河。</w:t>
      </w:r>
    </w:p>
    <w:p>
      <w:r>
        <w:rPr>
          <w:rFonts w:ascii="等线(中文正文)" w:hAnsi="等线(中文正文)" w:cs="等线(中文正文)" w:eastAsia="等线(中文正文)"/>
          <w:b w:val="false"/>
          <w:i w:val="false"/>
          <w:sz w:val="20"/>
        </w:rPr>
        <w:t/>
      </w:r>
    </w:p>
    <w:p>
      <w:pPr>
        <w:pStyle w:val="ab"/>
      </w:pPr>
      <w:r>
        <w:t>发言人1 问：针对公司主业毛利率的情况及未来提升计划有何见解？</w:t>
      </w:r>
    </w:p>
    <w:p>
      <w:r>
        <w:rPr>
          <w:rFonts w:ascii="等线(中文正文)" w:hAnsi="等线(中文正文)" w:cs="等线(中文正文)" w:eastAsia="等线(中文正文)"/>
          <w:b w:val="false"/>
          <w:i w:val="false"/>
          <w:sz w:val="20"/>
        </w:rPr>
        <w:t>发言人1 答：公司2025年第一季度国内毛利率约为15%，相较于往年第一季度通常较低的情况，第二季度、第三季度、第四季度毛利率会有所改善。然而，今年第一季度毛利率相比去年下降了0.7个百分点，主要原因是原材料成本压力增大以及二月份产量下滑导致可变成本上升。对于未来提升毛利率的计划，公司将密切关注原材料价格波动并对生产成本进行有效控制，以应对成本上升带来的影响。</w:t>
      </w:r>
    </w:p>
    <w:p>
      <w:r>
        <w:rPr>
          <w:rFonts w:ascii="等线(中文正文)" w:hAnsi="等线(中文正文)" w:cs="等线(中文正文)" w:eastAsia="等线(中文正文)"/>
          <w:b w:val="false"/>
          <w:i w:val="false"/>
          <w:sz w:val="20"/>
        </w:rPr>
        <w:t/>
      </w:r>
    </w:p>
    <w:p>
      <w:pPr>
        <w:pStyle w:val="ab"/>
      </w:pPr>
      <w:r>
        <w:t>发言人1 问：在二季度到四季度期间，我们如何管理压力以保持毛利率水平？</w:t>
      </w:r>
    </w:p>
    <w:p>
      <w:r>
        <w:rPr>
          <w:rFonts w:ascii="等线(中文正文)" w:hAnsi="等线(中文正文)" w:cs="等线(中文正文)" w:eastAsia="等线(中文正文)"/>
          <w:b w:val="false"/>
          <w:i w:val="false"/>
          <w:sz w:val="20"/>
        </w:rPr>
        <w:t>发言人1 答：我们希望通过一个逻辑过程，在与上游供应商和下游客户博弈中尽量消化压力，目标是至少在第二季度、第三季度、第四季度同比维持目前的毛利率水平。</w:t>
      </w:r>
    </w:p>
    <w:p>
      <w:r>
        <w:rPr>
          <w:rFonts w:ascii="等线(中文正文)" w:hAnsi="等线(中文正文)" w:cs="等线(中文正文)" w:eastAsia="等线(中文正文)"/>
          <w:b w:val="false"/>
          <w:i w:val="false"/>
          <w:sz w:val="20"/>
        </w:rPr>
        <w:t/>
      </w:r>
    </w:p>
    <w:p>
      <w:pPr>
        <w:pStyle w:val="ab"/>
      </w:pPr>
      <w:r>
        <w:t>发言人1 问：关于机器人业务的发展情况及未来目标是什么？</w:t>
      </w:r>
    </w:p>
    <w:p>
      <w:r>
        <w:rPr>
          <w:rFonts w:ascii="等线(中文正文)" w:hAnsi="等线(中文正文)" w:cs="等线(中文正文)" w:eastAsia="等线(中文正文)"/>
          <w:b w:val="false"/>
          <w:i w:val="false"/>
          <w:sz w:val="20"/>
        </w:rPr>
        <w:t>发言人1 答：2025年我们的机器人合同额为2400万，但实际营收突破了3500万。2026年的目标计划是突破2亿营收，这将通过智能应用、机器人本体、人工智能引流机、远程系列关键模组代工以及其他可能的代工业务实现。同时，与杭州未来团队合作的项目进展顺利，第一代产品已研发完成并进入测试迭代阶段，预计五月底六月初达到量产状态。</w:t>
      </w:r>
    </w:p>
    <w:p>
      <w:r>
        <w:rPr>
          <w:rFonts w:ascii="等线(中文正文)" w:hAnsi="等线(中文正文)" w:cs="等线(中文正文)" w:eastAsia="等线(中文正文)"/>
          <w:b w:val="false"/>
          <w:i w:val="false"/>
          <w:sz w:val="20"/>
        </w:rPr>
        <w:t/>
      </w:r>
    </w:p>
    <w:p>
      <w:pPr>
        <w:pStyle w:val="ab"/>
      </w:pPr>
      <w:r>
        <w:t>发言人1 问：目前在狗肉市场上的表现如何？订单情况及预期产量是多少？</w:t>
      </w:r>
    </w:p>
    <w:p>
      <w:r>
        <w:rPr>
          <w:rFonts w:ascii="等线(中文正文)" w:hAnsi="等线(中文正文)" w:cs="等线(中文正文)" w:eastAsia="等线(中文正文)"/>
          <w:b w:val="false"/>
          <w:i w:val="false"/>
          <w:sz w:val="20"/>
        </w:rPr>
        <w:t>发言人1 答：目前狗肉市场需求旺盛，尽管存在一定的风险，但我们对风险管理能力和生产能力有信心，预计能够将成本控制在终端售价12分范围内。基于此前提，在量产前的设计没有190%度的前提下，我们已经有100多个订单，相信今年能够做到1000台以上，这将贡献大几千万的营收。</w:t>
      </w:r>
    </w:p>
    <w:p>
      <w:r>
        <w:rPr>
          <w:rFonts w:ascii="等线(中文正文)" w:hAnsi="等线(中文正文)" w:cs="等线(中文正文)" w:eastAsia="等线(中文正文)"/>
          <w:b w:val="false"/>
          <w:i w:val="false"/>
          <w:sz w:val="20"/>
        </w:rPr>
        <w:t/>
      </w:r>
    </w:p>
    <w:p>
      <w:pPr>
        <w:pStyle w:val="ab"/>
      </w:pPr>
      <w:r>
        <w:t>发言人1 问：对于集成二次开发与销售业务，特别是在日本市场的表现以及未来展望？</w:t>
      </w:r>
    </w:p>
    <w:p>
      <w:r>
        <w:rPr>
          <w:rFonts w:ascii="等线(中文正文)" w:hAnsi="等线(中文正文)" w:cs="等线(中文正文)" w:eastAsia="等线(中文正文)"/>
          <w:b w:val="false"/>
          <w:i w:val="false"/>
          <w:sz w:val="20"/>
        </w:rPr>
        <w:t>发言人1 答：今年我们继续进行集成二次开发与销售工作，尤其是在日本市场因疫情和地缘政治原因面临较大压力，但与韩国和其他海外企业合作密切，第一季度整体表现不错，预计能贡献几千万的营收。</w:t>
      </w:r>
    </w:p>
    <w:p>
      <w:r>
        <w:rPr>
          <w:rFonts w:ascii="等线(中文正文)" w:hAnsi="等线(中文正文)" w:cs="等线(中文正文)" w:eastAsia="等线(中文正文)"/>
          <w:b w:val="false"/>
          <w:i w:val="false"/>
          <w:sz w:val="20"/>
        </w:rPr>
        <w:t/>
      </w:r>
    </w:p>
    <w:p>
      <w:pPr>
        <w:pStyle w:val="ab"/>
      </w:pPr>
      <w:r>
        <w:t>发言人1 问：关于相关流体产品的领导产品情况及销售预期？</w:t>
      </w:r>
    </w:p>
    <w:p>
      <w:r>
        <w:rPr>
          <w:rFonts w:ascii="等线(中文正文)" w:hAnsi="等线(中文正文)" w:cs="等线(中文正文)" w:eastAsia="等线(中文正文)"/>
          <w:b w:val="false"/>
          <w:i w:val="false"/>
          <w:sz w:val="20"/>
        </w:rPr>
        <w:t>发言人1 答：我们四款零售产品的代工业务已转变为预案业务，并逐步拓展至核心零部件开发与销售。整体反应积极，预计能够实现两年以上的营收增长。</w:t>
      </w:r>
    </w:p>
    <w:p>
      <w:r>
        <w:rPr>
          <w:rFonts w:ascii="等线(中文正文)" w:hAnsi="等线(中文正文)" w:cs="等线(中文正文)" w:eastAsia="等线(中文正文)"/>
          <w:b w:val="false"/>
          <w:i w:val="false"/>
          <w:sz w:val="20"/>
        </w:rPr>
        <w:t/>
      </w:r>
    </w:p>
    <w:p>
      <w:pPr>
        <w:pStyle w:val="ab"/>
      </w:pPr>
      <w:r>
        <w:t>发言人1 问：针对汇率波动对业绩的影响，公司有何应对措施？</w:t>
      </w:r>
    </w:p>
    <w:p>
      <w:r>
        <w:rPr>
          <w:rFonts w:ascii="等线(中文正文)" w:hAnsi="等线(中文正文)" w:cs="等线(中文正文)" w:eastAsia="等线(中文正文)"/>
          <w:b w:val="false"/>
          <w:i w:val="false"/>
          <w:sz w:val="20"/>
        </w:rPr>
        <w:t>发言人1 答：在2024年确实面临汇率损失，但从2025年开始，我们正在内部讨论并寻求与外部银行合作，制定方案以平滑报表上的影响。目前已有针对集团负债表中相关影响的方案，并将在内部讨论通过后实施。</w:t>
      </w:r>
    </w:p>
    <w:p>
      <w:r>
        <w:rPr>
          <w:rFonts w:ascii="等线(中文正文)" w:hAnsi="等线(中文正文)" w:cs="等线(中文正文)" w:eastAsia="等线(中文正文)"/>
          <w:b w:val="false"/>
          <w:i w:val="false"/>
          <w:sz w:val="20"/>
        </w:rPr>
        <w:t/>
      </w:r>
    </w:p>
    <w:p>
      <w:pPr>
        <w:pStyle w:val="ab"/>
      </w:pPr>
      <w:r>
        <w:t>发言人1 问：公司在皮革产业链中的卡位优势下，机器人端有哪些具体应用场景和部件替代可能性较大的情况？</w:t>
      </w:r>
    </w:p>
    <w:p>
      <w:r>
        <w:rPr>
          <w:rFonts w:ascii="等线(中文正文)" w:hAnsi="等线(中文正文)" w:cs="等线(中文正文)" w:eastAsia="等线(中文正文)"/>
          <w:b w:val="false"/>
          <w:i w:val="false"/>
          <w:sz w:val="20"/>
        </w:rPr>
        <w:t>发言人1 答：深入研究发现，公司在材料在机器人端的应用领域拥有较大优势，尤其是在全美用户为代表的交易领域，材料的应用正逐步扩大，涉及的具体部件和渗透率以及与大客户的进展还需进一步深入探讨才能明确。</w:t>
      </w:r>
    </w:p>
    <w:p>
      <w:r>
        <w:rPr>
          <w:rFonts w:ascii="等线(中文正文)" w:hAnsi="等线(中文正文)" w:cs="等线(中文正文)" w:eastAsia="等线(中文正文)"/>
          <w:b w:val="false"/>
          <w:i w:val="false"/>
          <w:sz w:val="20"/>
        </w:rPr>
        <w:t/>
      </w:r>
    </w:p>
    <w:p>
      <w:pPr>
        <w:pStyle w:val="ab"/>
      </w:pPr>
      <w:r>
        <w:t>发言人1 问：公司近期在材料应用方面做了哪些工作，为何测试周期较长？</w:t>
      </w:r>
    </w:p>
    <w:p>
      <w:r>
        <w:rPr>
          <w:rFonts w:ascii="等线(中文正文)" w:hAnsi="等线(中文正文)" w:cs="等线(中文正文)" w:eastAsia="等线(中文正文)"/>
          <w:b w:val="false"/>
          <w:i w:val="false"/>
          <w:sz w:val="20"/>
        </w:rPr>
        <w:t>发言人1 答：我们公司最近几个月投入大量时间和精力研发产品在计算平台上的应用，并非仅限于制作产品原型或进行基本测试。在关键模组的产品开发中，需要进行严格的功能测试和验证，包括车规级测试，以确保产品的稳定性与安全性。由于这些测试较为复杂且要求严格，所以测试周期相对较长。</w:t>
      </w:r>
    </w:p>
    <w:p>
      <w:r>
        <w:rPr>
          <w:rFonts w:ascii="等线(中文正文)" w:hAnsi="等线(中文正文)" w:cs="等线(中文正文)" w:eastAsia="等线(中文正文)"/>
          <w:b w:val="false"/>
          <w:i w:val="false"/>
          <w:sz w:val="20"/>
        </w:rPr>
        <w:t/>
      </w:r>
    </w:p>
    <w:p>
      <w:pPr>
        <w:pStyle w:val="ab"/>
      </w:pPr>
      <w:r>
        <w:t>发言人1 问：公司在用户管理模组方面有何优势及开发能力？</w:t>
      </w:r>
    </w:p>
    <w:p>
      <w:r>
        <w:rPr>
          <w:rFonts w:ascii="等线(中文正文)" w:hAnsi="等线(中文正文)" w:cs="等线(中文正文)" w:eastAsia="等线(中文正文)"/>
          <w:b w:val="false"/>
          <w:i w:val="false"/>
          <w:sz w:val="20"/>
        </w:rPr>
        <w:t>发言人1 答：目前，公司在用户管理模组方面具备百分之百正向开发的基础，能够满足100%重量开发需求。同时，我们正在探索网络上肢性能优化，并在下肢结构和设计上进行调整以改善性能。尤其是关节部分，通过不断测试和调整，已经取得了显著的效果，例如可以实现对机器人整体减重达70%，这对续航能力、安全性和整体性能提升具有重大意义。</w:t>
      </w:r>
    </w:p>
    <w:p>
      <w:r>
        <w:rPr>
          <w:rFonts w:ascii="等线(中文正文)" w:hAnsi="等线(中文正文)" w:cs="等线(中文正文)" w:eastAsia="等线(中文正文)"/>
          <w:b w:val="false"/>
          <w:i w:val="false"/>
          <w:sz w:val="20"/>
        </w:rPr>
        <w:t/>
      </w:r>
    </w:p>
    <w:p>
      <w:pPr>
        <w:pStyle w:val="ab"/>
      </w:pPr>
      <w:r>
        <w:t>发言人1 问：关于材料制成的关键模组的实际应用进展如何，以及未来的计划是什么？</w:t>
      </w:r>
    </w:p>
    <w:p>
      <w:r>
        <w:rPr>
          <w:rFonts w:ascii="等线(中文正文)" w:hAnsi="等线(中文正文)" w:cs="等线(中文正文)" w:eastAsia="等线(中文正文)"/>
          <w:b w:val="false"/>
          <w:i w:val="false"/>
          <w:sz w:val="20"/>
        </w:rPr>
        <w:t>发言人1 答：我们已经成功开发出用特殊材料制成的关键模组，并正在进行关键模组的测试阶段。下一步将考虑执行力和与其他优秀企业进行研发计划的合作。此外，我们也计划展示整个产品链的价值，通过扩大生产基地来保持竞争优势，并与客户共同验证产品的可用性和可靠性。</w:t>
      </w:r>
    </w:p>
    <w:p>
      <w:r>
        <w:rPr>
          <w:rFonts w:ascii="等线(中文正文)" w:hAnsi="等线(中文正文)" w:cs="等线(中文正文)" w:eastAsia="等线(中文正文)"/>
          <w:b w:val="false"/>
          <w:i w:val="false"/>
          <w:sz w:val="20"/>
        </w:rPr>
        <w:t/>
      </w:r>
    </w:p>
    <w:p>
      <w:pPr>
        <w:pStyle w:val="ab"/>
      </w:pPr>
      <w:r>
        <w:t>发言人1 问：关于智能底盘部分，何时可以期待正向收益及中长期目标是什么？北美和东南亚业务的收入和利润情况如何，以及对于2026年的展望？</w:t>
      </w:r>
    </w:p>
    <w:p>
      <w:r>
        <w:rPr>
          <w:rFonts w:ascii="等线(中文正文)" w:hAnsi="等线(中文正文)" w:cs="等线(中文正文)" w:eastAsia="等线(中文正文)"/>
          <w:b w:val="false"/>
          <w:i w:val="false"/>
          <w:sz w:val="20"/>
        </w:rPr>
        <w:t>发言人1 答：预计2021年底盘业务将贡献约-4000万至-5000万利润，而我们希望在2027年底实现正向营收能力。中长期目标是到2030年，转向、制动、悬架三个子系统能共同贡献公司显著的利润。我们致力于打造完整的线控底盘能力，并期望与自动驾驶公司合作，为未来自动驾驶汽车提供硬件解决方案。北美业务目前受市场波动影响较大，但2021年的收入目标是达到一定量级。对于东南亚业务，由于市场情况复杂，具体的收入和利润拆分未能提供，建议关注公司最新的预测情况。不过，我们将持续关注并适应市场变化，努力实现既定的业务发展目标。</w:t>
      </w:r>
    </w:p>
    <w:p>
      <w:r>
        <w:rPr>
          <w:rFonts w:ascii="等线(中文正文)" w:hAnsi="等线(中文正文)" w:cs="等线(中文正文)" w:eastAsia="等线(中文正文)"/>
          <w:b w:val="false"/>
          <w:i w:val="false"/>
          <w:sz w:val="20"/>
        </w:rPr>
        <w:t/>
      </w:r>
    </w:p>
    <w:p>
      <w:pPr>
        <w:pStyle w:val="ab"/>
      </w:pPr>
      <w:r>
        <w:t>发言人1 问：东南亚今年的业务规模预计是多少？东南亚市场的利润情况以及与北美市场的对比如何？</w:t>
      </w:r>
    </w:p>
    <w:p>
      <w:r>
        <w:rPr>
          <w:rFonts w:ascii="等线(中文正文)" w:hAnsi="等线(中文正文)" w:cs="等线(中文正文)" w:eastAsia="等线(中文正文)"/>
          <w:b w:val="false"/>
          <w:i w:val="false"/>
          <w:sz w:val="20"/>
        </w:rPr>
        <w:t>发言人1 答：预计东南亚今年的业务规模大约在20亿左右人民币。东南亚市场的收入和利润相对稳定，预计26年的利润会与25年接近。而北美市场25年的收入为八十多亿，虽然存在亏损，但二月份有所减亏并有正向贡献。东南亚目前主要以收入为主，利润率方面没有明确数字，但整体能力在逐步提升。</w:t>
      </w:r>
    </w:p>
    <w:p>
      <w:r>
        <w:rPr>
          <w:rFonts w:ascii="等线(中文正文)" w:hAnsi="等线(中文正文)" w:cs="等线(中文正文)" w:eastAsia="等线(中文正文)"/>
          <w:b w:val="false"/>
          <w:i w:val="false"/>
          <w:sz w:val="20"/>
        </w:rPr>
        <w:t/>
      </w:r>
    </w:p>
    <w:p>
      <w:pPr>
        <w:pStyle w:val="ab"/>
      </w:pPr>
      <w:r>
        <w:t>发言人1 问：对于25年营收数据以及未来营收增长的看法是怎样的？</w:t>
      </w:r>
    </w:p>
    <w:p>
      <w:r>
        <w:rPr>
          <w:rFonts w:ascii="等线(中文正文)" w:hAnsi="等线(中文正文)" w:cs="等线(中文正文)" w:eastAsia="等线(中文正文)"/>
          <w:b w:val="false"/>
          <w:i w:val="false"/>
          <w:sz w:val="20"/>
        </w:rPr>
        <w:t>发言人1 答：最初希望在21年内需收入有较大增长，并支撑26年实现免费运营。但由于项目提前、GOP及个别客户端接种影响，26年的收入没有像预期那样大规模上涨，而是有一些老项目停产导致没有收入流动，但新项目正在分析中。</w:t>
      </w:r>
    </w:p>
    <w:p>
      <w:r>
        <w:rPr>
          <w:rFonts w:ascii="等线(中文正文)" w:hAnsi="等线(中文正文)" w:cs="等线(中文正文)" w:eastAsia="等线(中文正文)"/>
          <w:b w:val="false"/>
          <w:i w:val="false"/>
          <w:sz w:val="20"/>
        </w:rPr>
        <w:t/>
      </w:r>
    </w:p>
    <w:p>
      <w:pPr>
        <w:pStyle w:val="ab"/>
      </w:pPr>
      <w:r>
        <w:t>发言人1 问：如何看待今年机器人业务的亏损情况及盈利能力？未来机器人业务的规划和回报预期是怎样的？</w:t>
      </w:r>
    </w:p>
    <w:p>
      <w:r>
        <w:rPr>
          <w:rFonts w:ascii="等线(中文正文)" w:hAnsi="等线(中文正文)" w:cs="等线(中文正文)" w:eastAsia="等线(中文正文)"/>
          <w:b w:val="false"/>
          <w:i w:val="false"/>
          <w:sz w:val="20"/>
        </w:rPr>
        <w:t>发言人1 答：目前机器人业务的部分把控和未来发展难以确定，利润率方面披露了11%的毛利率，但今年或中长期的盈利能力有待进一步分析。现阶段机器人业务主要聚焦于研发，尤其是人工机器人的改进和产品匹克的研发中心建设，同时团队正在积极进行市场推广，初期会按照未来成本核算，预计会有所亏损。未来除了代工和OEM业务外，还会在零部件业务上基于材料系列推动市场发展。尽管26年仍处于投入阶段，预计回报较为理想，但具体成效还需时间验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