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新奥股份 260430_导读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天然气 价格波动 客户 平台 价差 经营利润 国际环境 套期保值 财务表现 接收站 电力业务 投资 股东回报 风险管理 市场环境 销售量 利润 现货 中石油 成本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新奥股份2020年第一季度业绩亮点突出，面对中东冲突推高全球油气价格及国内天然气供应紧张的挑战，公司管理层展现出了卓越的应对策略和市场洞察力。通过国际国内市场的联动，优化资源配置与提升运营效率，成功实现销售规模的增长。在财务表现方面，公司有效地管理了价格风险，合理控制资本开支，同时注重负债结构的优化，以确保长期稳健运营。此外，新奥股份还积极探讨了股东回报策略，彰显了其穿越市场周期、实现稳定增长的能力。展望未来，公司对行业发展持乐观态度，强调了在政策利好下，通过持续创新与优化，将进一步巩固其在油气燃气行业的竞争优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新奥股份2020年一季度业绩分享会</w:t>
      </w:r>
    </w:p>
    <w:p>
      <w:r>
        <w:rPr>
          <w:rFonts w:ascii="等线(中文正文)" w:hAnsi="等线(中文正文)" w:cs="等线(中文正文)" w:eastAsia="等线(中文正文)"/>
          <w:b w:val="false"/>
          <w:i w:val="false"/>
          <w:sz w:val="20"/>
        </w:rPr>
        <w:t>在复杂多变的国内外市场环境下，新奥股份通过优化资源配置、创新业务模式，实现了销售量的增长，跑赢行业大盘。公司一季度总销售体量上升3.8%，零售气销售量同比增长0.5%，工商业用户销售体量同比增长0.7%，民生用气量同比增长1%。面对国际油气价格波动和国内天然气供应收紧，新奥依托天然气全场景优势，通过国际国内联动，保持业务发展的韧性，为长期增长奠定基础。</w:t>
      </w:r>
    </w:p>
    <w:p>
      <w:r>
        <w:rPr>
          <w:rFonts w:ascii="等线(中文正文)" w:hAnsi="等线(中文正文)" w:cs="等线(中文正文)" w:eastAsia="等线(中文正文)"/>
          <w:b w:val="false"/>
          <w:i w:val="false"/>
          <w:sz w:val="20"/>
        </w:rPr>
        <w:t/>
      </w:r>
    </w:p>
    <w:p>
      <w:pPr>
        <w:pStyle w:val="ab"/>
        <w:numPr>
          <w:numId w:val="2"/>
        </w:numPr>
      </w:pPr>
      <w:r>
        <w:t>05:15 天然气与泛能业务发展及风险管理</w:t>
      </w:r>
    </w:p>
    <w:p>
      <w:r>
        <w:rPr>
          <w:rFonts w:ascii="等线(中文正文)" w:hAnsi="等线(中文正文)" w:cs="等线(中文正文)" w:eastAsia="等线(中文正文)"/>
          <w:b w:val="false"/>
          <w:i w:val="false"/>
          <w:sz w:val="20"/>
        </w:rPr>
        <w:t>一季度，天然气进口量下降，但通过国内外销售和价差调整，实现了稳健运营。公司积极拓展多元业务，如光伏储能和冷能发电，打造绿色低碳模式。泛能业务稳步增长，电力销售量提升，符合低碳转型趋势。家庭业务场景拓宽，自有品牌销售增加。针对天然气价格波动，公司实施套期保值操作，确保业务稳健。</w:t>
      </w:r>
    </w:p>
    <w:p>
      <w:r>
        <w:rPr>
          <w:rFonts w:ascii="等线(中文正文)" w:hAnsi="等线(中文正文)" w:cs="等线(中文正文)" w:eastAsia="等线(中文正文)"/>
          <w:b w:val="false"/>
          <w:i w:val="false"/>
          <w:sz w:val="20"/>
        </w:rPr>
        <w:t/>
      </w:r>
    </w:p>
    <w:p>
      <w:pPr>
        <w:pStyle w:val="ab"/>
        <w:numPr>
          <w:numId w:val="3"/>
        </w:numPr>
      </w:pPr>
      <w:r>
        <w:t>10:21 公司一季度财务表现稳健，经营利润受套期保值影响</w:t>
      </w:r>
    </w:p>
    <w:p>
      <w:r>
        <w:rPr>
          <w:rFonts w:ascii="等线(中文正文)" w:hAnsi="等线(中文正文)" w:cs="等线(中文正文)" w:eastAsia="等线(中文正文)"/>
          <w:b w:val="false"/>
          <w:i w:val="false"/>
          <w:sz w:val="20"/>
        </w:rPr>
        <w:t>公司一季度财务表现稳健，营业收入311.6亿元，毛利39.94亿元，归母净利润6.55亿元，同比下降32.9%。下降主要因套期保值操作影响公允价值变动，剔除后经营利润9.44亿元，同比下降12.78%。资本开支下降4.14亿元，负债增加30亿，净负债率25.2%。公司重视股东回报，2025年每股现金分红不低于1.14元。</w:t>
      </w:r>
    </w:p>
    <w:p>
      <w:r>
        <w:rPr>
          <w:rFonts w:ascii="等线(中文正文)" w:hAnsi="等线(中文正文)" w:cs="等线(中文正文)" w:eastAsia="等线(中文正文)"/>
          <w:b w:val="false"/>
          <w:i w:val="false"/>
          <w:sz w:val="20"/>
        </w:rPr>
        <w:t/>
      </w:r>
    </w:p>
    <w:p>
      <w:pPr>
        <w:pStyle w:val="ab"/>
        <w:numPr>
          <w:numId w:val="4"/>
        </w:numPr>
      </w:pPr>
      <w:r>
        <w:t>15:11 平台交易价差与接收站量变分析</w:t>
      </w:r>
    </w:p>
    <w:p>
      <w:r>
        <w:rPr>
          <w:rFonts w:ascii="等线(中文正文)" w:hAnsi="等线(中文正文)" w:cs="等线(中文正文)" w:eastAsia="等线(中文正文)"/>
          <w:b w:val="false"/>
          <w:i w:val="false"/>
          <w:sz w:val="20"/>
        </w:rPr>
        <w:t>对话围绕平台交易价差水平提升及接收站接收量下滑展开。价差方面，国内与国际分别达到0.39元和0.61元，预计全年将优于去年。接收量减少主要受现货市场影响，尤其在高价环境下，海外销售利润增加。强调应从全链条视角评估公司整体收益，而非单一法人主体。</w:t>
      </w:r>
    </w:p>
    <w:p>
      <w:r>
        <w:rPr>
          <w:rFonts w:ascii="等线(中文正文)" w:hAnsi="等线(中文正文)" w:cs="等线(中文正文)" w:eastAsia="等线(中文正文)"/>
          <w:b w:val="false"/>
          <w:i w:val="false"/>
          <w:sz w:val="20"/>
        </w:rPr>
        <w:t/>
      </w:r>
    </w:p>
    <w:p>
      <w:pPr>
        <w:pStyle w:val="ab"/>
        <w:numPr>
          <w:numId w:val="5"/>
        </w:numPr>
      </w:pPr>
      <w:r>
        <w:t>18:57 平台客户类型与接收站气源锁定问题讨论</w:t>
      </w:r>
    </w:p>
    <w:p>
      <w:r>
        <w:rPr>
          <w:rFonts w:ascii="等线(中文正文)" w:hAnsi="等线(中文正文)" w:cs="等线(中文正文)" w:eastAsia="等线(中文正文)"/>
          <w:b w:val="false"/>
          <w:i w:val="false"/>
          <w:sz w:val="20"/>
        </w:rPr>
        <w:t>讨论了中石油长期价差提升的气源下游客户类型，主要涉及工业、电厂及交通等，客户资源灵活多样。针对舟山接收站，国投节能电厂今年完成施工，预计全年用气需求8-9亿方，初期用量较少，上游气源主要由平台供应，但不排除寻求其他资源。</w:t>
      </w:r>
    </w:p>
    <w:p>
      <w:r>
        <w:rPr>
          <w:rFonts w:ascii="等线(中文正文)" w:hAnsi="等线(中文正文)" w:cs="等线(中文正文)" w:eastAsia="等线(中文正文)"/>
          <w:b w:val="false"/>
          <w:i w:val="false"/>
          <w:sz w:val="20"/>
        </w:rPr>
        <w:t/>
      </w:r>
    </w:p>
    <w:p>
      <w:pPr>
        <w:pStyle w:val="ab"/>
        <w:numPr>
          <w:numId w:val="6"/>
        </w:numPr>
      </w:pPr>
      <w:r>
        <w:t>22:37 平台价差与毛利变化及国际销售策略讨论</w:t>
      </w:r>
    </w:p>
    <w:p>
      <w:r>
        <w:rPr>
          <w:rFonts w:ascii="等线(中文正文)" w:hAnsi="等线(中文正文)" w:cs="等线(中文正文)" w:eastAsia="等线(中文正文)"/>
          <w:b w:val="false"/>
          <w:i w:val="false"/>
          <w:sz w:val="20"/>
        </w:rPr>
        <w:t>讨论了平台价差变化趋势，二季度价差可能走弱，主要受国内资源成本上涨影响；一季度毛利41%，平台交易贡献增加，净利润同比增一个亿；目前无计划将长约资源更多转向国内销售，倾向于国际销售以获取更好价差；对于三毛钱的平台价差预测，基于油价波动及资源竞争力的不确定性，给出了保守估计。</w:t>
      </w:r>
    </w:p>
    <w:p>
      <w:r>
        <w:rPr>
          <w:rFonts w:ascii="等线(中文正文)" w:hAnsi="等线(中文正文)" w:cs="等线(中文正文)" w:eastAsia="等线(中文正文)"/>
          <w:b w:val="false"/>
          <w:i w:val="false"/>
          <w:sz w:val="20"/>
        </w:rPr>
        <w:t/>
      </w:r>
    </w:p>
    <w:p>
      <w:pPr>
        <w:pStyle w:val="ab"/>
        <w:numPr>
          <w:numId w:val="7"/>
        </w:numPr>
      </w:pPr>
      <w:r>
        <w:t>28:44 公司接收站业务量与利润分析</w:t>
      </w:r>
    </w:p>
    <w:p>
      <w:r>
        <w:rPr>
          <w:rFonts w:ascii="等线(中文正文)" w:hAnsi="等线(中文正文)" w:cs="等线(中文正文)" w:eastAsia="等线(中文正文)"/>
          <w:b w:val="false"/>
          <w:i w:val="false"/>
          <w:sz w:val="20"/>
        </w:rPr>
        <w:t>对话围绕公司接收站业务展开，讨论了第一季度及全年接收站量的构成，包括自有资源与第三方资源的比例，以及现货进口对利润的影响。管理层表示，尽管现货进口利润较低，但接收站业务整体利润基数稳固，且公司会根据海外价格波动动态调整长约与现货策略，以最大化利润。此外，公司对今年的整体发展前景持乐观态度，认为当前大环境对公司利大于弊。</w:t>
      </w:r>
    </w:p>
    <w:p>
      <w:r>
        <w:rPr>
          <w:rFonts w:ascii="等线(中文正文)" w:hAnsi="等线(中文正文)" w:cs="等线(中文正文)" w:eastAsia="等线(中文正文)"/>
          <w:b w:val="false"/>
          <w:i w:val="false"/>
          <w:sz w:val="20"/>
        </w:rPr>
        <w:t/>
      </w:r>
    </w:p>
    <w:p>
      <w:pPr>
        <w:pStyle w:val="ab"/>
        <w:numPr>
          <w:numId w:val="8"/>
        </w:numPr>
      </w:pPr>
      <w:r>
        <w:t>34:54 接收站接卸量与盈亏平衡点分析</w:t>
      </w:r>
    </w:p>
    <w:p>
      <w:r>
        <w:rPr>
          <w:rFonts w:ascii="等线(中文正文)" w:hAnsi="等线(中文正文)" w:cs="等线(中文正文)" w:eastAsia="等线(中文正文)"/>
          <w:b w:val="false"/>
          <w:i w:val="false"/>
          <w:sz w:val="20"/>
        </w:rPr>
        <w:t>讨论了接收站的接卸量对盈亏平衡点的影响，指出在多元化业务背景下，即使在接卸量较低时也能实现盈利。提议提供单一业务下的盈亏平衡点数据，并强调了公司运营良好及业务多元化的优势。</w:t>
      </w:r>
    </w:p>
    <w:p>
      <w:r>
        <w:rPr>
          <w:rFonts w:ascii="等线(中文正文)" w:hAnsi="等线(中文正文)" w:cs="等线(中文正文)" w:eastAsia="等线(中文正文)"/>
          <w:b w:val="false"/>
          <w:i w:val="false"/>
          <w:sz w:val="20"/>
        </w:rPr>
        <w:t/>
      </w:r>
    </w:p>
    <w:p>
      <w:pPr>
        <w:pStyle w:val="ab"/>
        <w:numPr>
          <w:numId w:val="9"/>
        </w:numPr>
      </w:pPr>
      <w:r>
        <w:t>36:28 管理层分析能源危机下的公司应对策略</w:t>
      </w:r>
    </w:p>
    <w:p>
      <w:r>
        <w:rPr>
          <w:rFonts w:ascii="等线(中文正文)" w:hAnsi="等线(中文正文)" w:cs="等线(中文正文)" w:eastAsia="等线(中文正文)"/>
          <w:b w:val="false"/>
          <w:i w:val="false"/>
          <w:sz w:val="20"/>
        </w:rPr>
        <w:t>会议中，管理层分享了对当前能源危机的看法，认为中东战争导致的市场波动对公司既有挑战也有机遇，特别是作为全产业链的天然气公司，通过上游资源获利与下游成本上升形成对冲。公司计划通过价格调整减轻不利影响，同时抓住国际市场盈利机会，展现公司应对复杂市场环境的能力与信心。</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首先回顾了新奥股份2020年第一季度的业绩，指出了公司面临的国内外市场挑战，尤其是中东冲突引起油气价格的大幅波动。面对这些挑战，他详细阐述了公司采取的应对措施，包括加强国际国内市场的联动，扩大多元化资源和基础设施布局，以及实施先进的风险管理策略，以确保业务的稳定性和韧性。他还提及了公司在适应国内市场需求变化、产品优化、以及价格风险管理方面的努力。他强调，尽管市场环境充满不确定性，新奥股份依然坚持稳健的财务策略，重视对股东的回报，并致力于长期的稳定发展。最后，他表达了公司对未来挑战的应对决心，旨在为投资者带来更好的回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问：尊敬的各位投资者分析师朋友，大家早上好。欢迎参加新奥股份2026年一季度交流会。首先，请管理层简单介绍今年一季度的业务和财务情况。一季度公司的销售情况如何？</w:t>
      </w:r>
    </w:p>
    <w:p>
      <w:r>
        <w:rPr>
          <w:rFonts w:ascii="等线(中文正文)" w:hAnsi="等线(中文正文)" w:cs="等线(中文正文)" w:eastAsia="等线(中文正文)"/>
          <w:b w:val="false"/>
          <w:i w:val="false"/>
          <w:sz w:val="20"/>
        </w:rPr>
        <w:t>发言人1 答：大家早上好，我是中东公司的油气燃气行业分析员言贝娜。今天，我们非常荣幸邀请到了新奥股份的管理层，包括董事长蒋总、总裁林总、财务总监季动力梁总、财务与运营总监陈总和IR总监魏总。他们将分享新奥股份2020年第一季度的业绩情况。在一季度，尽管全国天然气消费量同比下降2.8%，但公司坚持量达利策略，优化资源，提升运营效率，扩大客户规模，总销售体量上升3.8%。零售业务保持稳定增长，工商业销售体量同比增长0.7%，民生用气量同比增长1%。安装业务在房地产开工面积和竣工面积双下滑的背景下依然保持相对稳定，新增工商及居民安装量分别为188.32万方和20.62万方。</w:t>
      </w:r>
    </w:p>
    <w:p>
      <w:r>
        <w:rPr>
          <w:rFonts w:ascii="等线(中文正文)" w:hAnsi="等线(中文正文)" w:cs="等线(中文正文)" w:eastAsia="等线(中文正文)"/>
          <w:b w:val="false"/>
          <w:i w:val="false"/>
          <w:sz w:val="20"/>
        </w:rPr>
        <w:t/>
      </w:r>
    </w:p>
    <w:p>
      <w:pPr>
        <w:pStyle w:val="ab"/>
      </w:pPr>
      <w:r>
        <w:t>发言人1 问：请为大家解读一下公司一季度的业务和财务表现。</w:t>
      </w:r>
    </w:p>
    <w:p>
      <w:r>
        <w:rPr>
          <w:rFonts w:ascii="等线(中文正文)" w:hAnsi="等线(中文正文)" w:cs="等线(中文正文)" w:eastAsia="等线(中文正文)"/>
          <w:b w:val="false"/>
          <w:i w:val="false"/>
          <w:sz w:val="20"/>
        </w:rPr>
        <w:t>发言人1 答：当前天然气行业受到升级行业周期增速的影响，市场环境复杂且充满不确定性。国际环境中，中东冲突导致全球油气价格大幅上涨，特别是原油价格涨至118美元，天然气价格也明显上升，这对企业的组织能力和价格风险管理能力提出了前所未有的挑战。在国内，天然气整体供应收紧，进口量同比减少6%，同时利好政策如电力统一大市场和人工智能新生态等出台，为泛能和之家业务提供了增长空间。</w:t>
      </w:r>
    </w:p>
    <w:p>
      <w:r>
        <w:rPr>
          <w:rFonts w:ascii="等线(中文正文)" w:hAnsi="等线(中文正文)" w:cs="等线(中文正文)" w:eastAsia="等线(中文正文)"/>
          <w:b w:val="false"/>
          <w:i w:val="false"/>
          <w:sz w:val="20"/>
        </w:rPr>
        <w:t/>
      </w:r>
    </w:p>
    <w:p>
      <w:pPr>
        <w:pStyle w:val="ab"/>
      </w:pPr>
      <w:r>
        <w:t>发言人1 问：泛能业务方面怎么样？</w:t>
      </w:r>
    </w:p>
    <w:p>
      <w:r>
        <w:rPr>
          <w:rFonts w:ascii="等线(中文正文)" w:hAnsi="等线(中文正文)" w:cs="等线(中文正文)" w:eastAsia="等线(中文正文)"/>
          <w:b w:val="false"/>
          <w:i w:val="false"/>
          <w:sz w:val="20"/>
        </w:rPr>
        <w:t>发言人1 答：泛能业务稳步提质，立足工厂、建筑、园区三大类客户，落地河源网储碳一体化模式。一季度累计装机规模达到14.47G瓦，在建装机0.97G瓦。公司抓住电力改革机遇，加大电力业务发展，光伏并网、储能并网以及售电量增速均实现显著增长，整体泛能销售量优化，家庭业务场景进一步拓宽，交易客户数量增加，产品升级带动单价提升，自有的品牌销售增长显著。</w:t>
      </w:r>
    </w:p>
    <w:p>
      <w:r>
        <w:rPr>
          <w:rFonts w:ascii="等线(中文正文)" w:hAnsi="等线(中文正文)" w:cs="等线(中文正文)" w:eastAsia="等线(中文正文)"/>
          <w:b w:val="false"/>
          <w:i w:val="false"/>
          <w:sz w:val="20"/>
        </w:rPr>
        <w:t/>
      </w:r>
    </w:p>
    <w:p>
      <w:pPr>
        <w:pStyle w:val="ab"/>
      </w:pPr>
      <w:r>
        <w:t>发言人1 问：面对这样的市场环境，公司如何应对并保持业务韧性？</w:t>
      </w:r>
    </w:p>
    <w:p>
      <w:r>
        <w:rPr>
          <w:rFonts w:ascii="等线(中文正文)" w:hAnsi="等线(中文正文)" w:cs="等线(中文正文)" w:eastAsia="等线(中文正文)"/>
          <w:b w:val="false"/>
          <w:i w:val="false"/>
          <w:sz w:val="20"/>
        </w:rPr>
        <w:t>发言人1 答：公司依托天然气全场景优势，通过国际国内联动策略保持业务发展韧性。在国内，公司深挖客户需求，筑牢基本盘，识别并创新业务模式以开拓中长期客户；在国际端，通过长短约资源结构组合并利用实实结合管理价格波动风险。公司依靠四大核心支点能力——坚实的客户基础、多元化的海内外资源、舟山支点的基础设施以及先进的国际风控体系，穿越周期稳定成长。</w:t>
      </w:r>
    </w:p>
    <w:p>
      <w:r>
        <w:rPr>
          <w:rFonts w:ascii="等线(中文正文)" w:hAnsi="等线(中文正文)" w:cs="等线(中文正文)" w:eastAsia="等线(中文正文)"/>
          <w:b w:val="false"/>
          <w:i w:val="false"/>
          <w:sz w:val="20"/>
        </w:rPr>
        <w:t/>
      </w:r>
    </w:p>
    <w:p>
      <w:pPr>
        <w:pStyle w:val="ab"/>
      </w:pPr>
      <w:r>
        <w:t>发言人1 问：平台业务方面表现怎样？</w:t>
      </w:r>
    </w:p>
    <w:p>
      <w:r>
        <w:rPr>
          <w:rFonts w:ascii="等线(中文正文)" w:hAnsi="等线(中文正文)" w:cs="等线(中文正文)" w:eastAsia="等线(中文正文)"/>
          <w:b w:val="false"/>
          <w:i w:val="false"/>
          <w:sz w:val="20"/>
        </w:rPr>
        <w:t>发言人1 答：平台业务呈现量价齐升的情况。一季度国际天然气价格高位运行，公司进口现货销售气量同比下降10%，达到10.75亿方。综合毛差为五毛钱，较去年同期增加一毛钱。公司依托资源优势，为全国客户提供稳定灵活的天然气供应服务。</w:t>
      </w:r>
    </w:p>
    <w:p>
      <w:r>
        <w:rPr>
          <w:rFonts w:ascii="等线(中文正文)" w:hAnsi="等线(中文正文)" w:cs="等线(中文正文)" w:eastAsia="等线(中文正文)"/>
          <w:b w:val="false"/>
          <w:i w:val="false"/>
          <w:sz w:val="20"/>
        </w:rPr>
        <w:t/>
      </w:r>
    </w:p>
    <w:p>
      <w:pPr>
        <w:pStyle w:val="ab"/>
      </w:pPr>
      <w:r>
        <w:t>发言人1 问：在基础设施方面有哪些进展？</w:t>
      </w:r>
    </w:p>
    <w:p>
      <w:r>
        <w:rPr>
          <w:rFonts w:ascii="等线(中文正文)" w:hAnsi="等线(中文正文)" w:cs="等线(中文正文)" w:eastAsia="等线(中文正文)"/>
          <w:b w:val="false"/>
          <w:i w:val="false"/>
          <w:sz w:val="20"/>
        </w:rPr>
        <w:t>发言人1 答：舟山接收站支点能力持续提升，接卸量为25.32万吨，存货处理量为41.07万吨。公司积极拓展冠融租赁、保税转运、小船分拨、船舶加注等多元化业务，提升设施营运能力和服务能力。同时，完成了接收站规划，通过光伏储能、冷能发电等改造打造绿色低碳运营模式。</w:t>
      </w:r>
    </w:p>
    <w:p>
      <w:r>
        <w:rPr>
          <w:rFonts w:ascii="等线(中文正文)" w:hAnsi="等线(中文正文)" w:cs="等线(中文正文)" w:eastAsia="等线(中文正文)"/>
          <w:b w:val="false"/>
          <w:i w:val="false"/>
          <w:sz w:val="20"/>
        </w:rPr>
        <w:t/>
      </w:r>
    </w:p>
    <w:p>
      <w:pPr>
        <w:pStyle w:val="ab"/>
      </w:pPr>
      <w:r>
        <w:t>发言人1 问：如何应对天然气价格波动的风险？</w:t>
      </w:r>
    </w:p>
    <w:p>
      <w:r>
        <w:rPr>
          <w:rFonts w:ascii="等线(中文正文)" w:hAnsi="等线(中文正文)" w:cs="等线(中文正文)" w:eastAsia="等线(中文正文)"/>
          <w:b w:val="false"/>
          <w:i w:val="false"/>
          <w:sz w:val="20"/>
        </w:rPr>
        <w:t>发言人1 答：公司主动采取措施应对价格波动风险，针对国际LNG资源进行套期保值操作，通过实实结合的方式管理天然气采销价格风险，确保业务稳健运营。公司通过自研的EETM系统实时监控公允价值变动，以反映公司真实业务盈利水平。</w:t>
      </w:r>
    </w:p>
    <w:p>
      <w:r>
        <w:rPr>
          <w:rFonts w:ascii="等线(中文正文)" w:hAnsi="等线(中文正文)" w:cs="等线(中文正文)" w:eastAsia="等线(中文正文)"/>
          <w:b w:val="false"/>
          <w:i w:val="false"/>
          <w:sz w:val="20"/>
        </w:rPr>
        <w:t/>
      </w:r>
    </w:p>
    <w:p>
      <w:pPr>
        <w:pStyle w:val="ab"/>
      </w:pPr>
      <w:r>
        <w:t>发言人1 问：公司一季度财务表现中，营业收入、毛利和归母净利润的具体数值是多少？同比下降了多少？公司一季度经营利润的真实反映业务指标是什么？同比下降了多少？</w:t>
      </w:r>
    </w:p>
    <w:p>
      <w:r>
        <w:rPr>
          <w:rFonts w:ascii="等线(中文正文)" w:hAnsi="等线(中文正文)" w:cs="等线(中文正文)" w:eastAsia="等线(中文正文)"/>
          <w:b w:val="false"/>
          <w:i w:val="false"/>
          <w:sz w:val="20"/>
        </w:rPr>
        <w:t>发言人1 答：一季度营业收入为311.6亿元，毛利为39.94亿元，归母净利润为6.55亿元，同比下降32.9%。剔除公允价值变动的影响后，公司的经营利润是9.44亿元，同比下降了12.78%。</w:t>
      </w:r>
    </w:p>
    <w:p>
      <w:r>
        <w:rPr>
          <w:rFonts w:ascii="等线(中文正文)" w:hAnsi="等线(中文正文)" w:cs="等线(中文正文)" w:eastAsia="等线(中文正文)"/>
          <w:b w:val="false"/>
          <w:i w:val="false"/>
          <w:sz w:val="20"/>
        </w:rPr>
        <w:t/>
      </w:r>
    </w:p>
    <w:p>
      <w:pPr>
        <w:pStyle w:val="ab"/>
      </w:pPr>
      <w:r>
        <w:t>发言人1 问：公司一季度的资本开支相比去年同期变化多少？投向主要领域是什么？</w:t>
      </w:r>
    </w:p>
    <w:p>
      <w:r>
        <w:rPr>
          <w:rFonts w:ascii="等线(中文正文)" w:hAnsi="等线(中文正文)" w:cs="等线(中文正文)" w:eastAsia="等线(中文正文)"/>
          <w:b w:val="false"/>
          <w:i w:val="false"/>
          <w:sz w:val="20"/>
        </w:rPr>
        <w:t>发言人1 答：公司一季度的资本开支相比去年同期下降了4.14亿元，达到12.99亿，主要投向是天然气分销和泛能，占大头是12.75亿元，平台性和基础设施方面投入为2500万。</w:t>
      </w:r>
    </w:p>
    <w:p>
      <w:r>
        <w:rPr>
          <w:rFonts w:ascii="等线(中文正文)" w:hAnsi="等线(中文正文)" w:cs="等线(中文正文)" w:eastAsia="等线(中文正文)"/>
          <w:b w:val="false"/>
          <w:i w:val="false"/>
          <w:sz w:val="20"/>
        </w:rPr>
        <w:t/>
      </w:r>
    </w:p>
    <w:p>
      <w:pPr>
        <w:pStyle w:val="ab"/>
      </w:pPr>
      <w:r>
        <w:t>发言人1 问：公司的总负债和净负债情况如何？</w:t>
      </w:r>
    </w:p>
    <w:p>
      <w:r>
        <w:rPr>
          <w:rFonts w:ascii="等线(中文正文)" w:hAnsi="等线(中文正文)" w:cs="等线(中文正文)" w:eastAsia="等线(中文正文)"/>
          <w:b w:val="false"/>
          <w:i w:val="false"/>
          <w:sz w:val="20"/>
        </w:rPr>
        <w:t>发言人1 答：公司的总负债增加了30亿，达到了378.02亿元，主要是为偿还一笔55.6亿美元的债券而提前增加了短期借款。净负债相比去年同期下降了6亿元，达到了160.93亿元，净负债率保持稳健水平为25.25%。</w:t>
      </w:r>
    </w:p>
    <w:p>
      <w:r>
        <w:rPr>
          <w:rFonts w:ascii="等线(中文正文)" w:hAnsi="等线(中文正文)" w:cs="等线(中文正文)" w:eastAsia="等线(中文正文)"/>
          <w:b w:val="false"/>
          <w:i w:val="false"/>
          <w:sz w:val="20"/>
        </w:rPr>
        <w:t/>
      </w:r>
    </w:p>
    <w:p>
      <w:pPr>
        <w:pStyle w:val="ab"/>
      </w:pPr>
      <w:r>
        <w:t>发言人1 问：公司的派息政策是怎样的？未来如何兼顾业务发展和股东利益？</w:t>
      </w:r>
    </w:p>
    <w:p>
      <w:r>
        <w:rPr>
          <w:rFonts w:ascii="等线(中文正文)" w:hAnsi="等线(中文正文)" w:cs="等线(中文正文)" w:eastAsia="等线(中文正文)"/>
          <w:b w:val="false"/>
          <w:i w:val="false"/>
          <w:sz w:val="20"/>
        </w:rPr>
        <w:t>发言人1 答：公司非常重视股东回报，保持稳定的派息政策，2025年每股现金分红不低于1.14元每股。其中0.18元已在去年十月份完成派发，0.96元将在今年5月15日完成股东大会审议后发放。长期来看，公司将兼顾业务发展和股东利益，持续稳定地向股东进行回报。</w:t>
      </w:r>
    </w:p>
    <w:p>
      <w:r>
        <w:rPr>
          <w:rFonts w:ascii="等线(中文正文)" w:hAnsi="等线(中文正文)" w:cs="等线(中文正文)" w:eastAsia="等线(中文正文)"/>
          <w:b w:val="false"/>
          <w:i w:val="false"/>
          <w:sz w:val="20"/>
        </w:rPr>
        <w:t/>
      </w:r>
    </w:p>
    <w:p>
      <w:pPr>
        <w:pStyle w:val="ab"/>
      </w:pPr>
      <w:r>
        <w:t>发言人1 问：账面利润和经营利润之间存在差异的原因是什么？</w:t>
      </w:r>
    </w:p>
    <w:p>
      <w:r>
        <w:rPr>
          <w:rFonts w:ascii="等线(中文正文)" w:hAnsi="等线(中文正文)" w:cs="等线(中文正文)" w:eastAsia="等线(中文正文)"/>
          <w:b w:val="false"/>
          <w:i w:val="false"/>
          <w:sz w:val="20"/>
        </w:rPr>
        <w:t>发言人1 答：差异主要源于公司进行了套期保值操作，针对长约进行操作时，每日价格波动会影响账面上体现为负值，而归母利润会扣除这部分。实际上，公司的实货收益并未在账面上完全体现，因此，剔除公允价值变动因素后，经营利润实际下降幅度并不如账面利润显示的那么大。</w:t>
      </w:r>
    </w:p>
    <w:p>
      <w:r>
        <w:rPr>
          <w:rFonts w:ascii="等线(中文正文)" w:hAnsi="等线(中文正文)" w:cs="等线(中文正文)" w:eastAsia="等线(中文正文)"/>
          <w:b w:val="false"/>
          <w:i w:val="false"/>
          <w:sz w:val="20"/>
        </w:rPr>
        <w:t/>
      </w:r>
    </w:p>
    <w:p>
      <w:pPr>
        <w:pStyle w:val="ab"/>
      </w:pPr>
      <w:r>
        <w:t>发言人1 问：国内和国外价差拆分情况以及今年全年的展望如何？接收站接收量下滑的原因及全年展望是什么？</w:t>
      </w:r>
    </w:p>
    <w:p>
      <w:r>
        <w:rPr>
          <w:rFonts w:ascii="等线(中文正文)" w:hAnsi="等线(中文正文)" w:cs="等线(中文正文)" w:eastAsia="等线(中文正文)"/>
          <w:b w:val="false"/>
          <w:i w:val="false"/>
          <w:sz w:val="20"/>
        </w:rPr>
        <w:t>发言人1 答：国内价差约为0.39元，国际价差约为0.61元。今年全年预计价差略高于0.3元。接收站接收量下滑主要是由于现货窗口关闭导致。未来接收量很大程度上取决于现货市场变化，若海外价格维持高位且现货进不了国内，公司在海外的利润将会增加，所以不应过于关注个别点的利润，应从整体大盘子来看待问题。</w:t>
      </w:r>
    </w:p>
    <w:p>
      <w:r>
        <w:rPr>
          <w:rFonts w:ascii="等线(中文正文)" w:hAnsi="等线(中文正文)" w:cs="等线(中文正文)" w:eastAsia="等线(中文正文)"/>
          <w:b w:val="false"/>
          <w:i w:val="false"/>
          <w:sz w:val="20"/>
        </w:rPr>
        <w:t/>
      </w:r>
    </w:p>
    <w:p>
      <w:pPr>
        <w:pStyle w:val="ab"/>
      </w:pPr>
      <w:r>
        <w:t>发言人1 问：平台去价差的气源销售对象主要是哪种类型的下游客户？以及舟山接收站今年投产进度、用气量爬坡情况及上游气源锁定情况如何？</w:t>
      </w:r>
    </w:p>
    <w:p>
      <w:r>
        <w:rPr>
          <w:rFonts w:ascii="等线(中文正文)" w:hAnsi="等线(中文正文)" w:cs="等线(中文正文)" w:eastAsia="等线(中文正文)"/>
          <w:b w:val="false"/>
          <w:i w:val="false"/>
          <w:sz w:val="20"/>
        </w:rPr>
        <w:t>发言人1 答：平台去的气源客户类型多样，包括工业、电厂、交通等。中石油长期价差提升是因为其与油价挂钩，而一季度布伦特油价平均为75美金，显示出成本优势。对于上游资源，公司在灵活运用现货资源以应对市场变化，并且会根据市场情况进口现货资源。至于舟山接收站的具体投产进度和用气量爬坡情况，以及上游气源锁定事宜，没有在对话中明确说明。</w:t>
      </w:r>
    </w:p>
    <w:p>
      <w:r>
        <w:rPr>
          <w:rFonts w:ascii="等线(中文正文)" w:hAnsi="等线(中文正文)" w:cs="等线(中文正文)" w:eastAsia="等线(中文正文)"/>
          <w:b w:val="false"/>
          <w:i w:val="false"/>
          <w:sz w:val="20"/>
        </w:rPr>
        <w:t/>
      </w:r>
    </w:p>
    <w:p>
      <w:pPr>
        <w:pStyle w:val="ab"/>
      </w:pPr>
      <w:r>
        <w:t>发言人1 问：在接收站利用率偏低且计量偏弱的情况下，这是否与一季度整体的天然气价格有关？公司如何通过多元化业务来提高利润贡献？</w:t>
      </w:r>
    </w:p>
    <w:p>
      <w:r>
        <w:rPr>
          <w:rFonts w:ascii="等线(中文正文)" w:hAnsi="等线(中文正文)" w:cs="等线(中文正文)" w:eastAsia="等线(中文正文)"/>
          <w:b w:val="false"/>
          <w:i w:val="false"/>
          <w:sz w:val="20"/>
        </w:rPr>
        <w:t>发言人1 答：是的，接收站利用率偏低和计量偏弱确实与一季度天然气价格相关。公司不仅自己使用长源进口的接收站，还与第三方有引流生态合作，让接收站功能更加多元化。随着三期项目达成，现在有8个储罐，总计10亿方的储气容量，可以开展更多如灌入租赁、单储贸销和小船分拨等业务，这些多元化的业务将有助于增加公司的利润贡献。</w:t>
      </w:r>
    </w:p>
    <w:p>
      <w:r>
        <w:rPr>
          <w:rFonts w:ascii="等线(中文正文)" w:hAnsi="等线(中文正文)" w:cs="等线(中文正文)" w:eastAsia="等线(中文正文)"/>
          <w:b w:val="false"/>
          <w:i w:val="false"/>
          <w:sz w:val="20"/>
        </w:rPr>
        <w:t/>
      </w:r>
    </w:p>
    <w:p>
      <w:pPr>
        <w:pStyle w:val="ab"/>
      </w:pPr>
      <w:r>
        <w:t>发言人1 问：电厂的全年用气需求预计是多少？首年用量会少一些吗？</w:t>
      </w:r>
    </w:p>
    <w:p>
      <w:r>
        <w:rPr>
          <w:rFonts w:ascii="等线(中文正文)" w:hAnsi="等线(中文正文)" w:cs="等线(中文正文)" w:eastAsia="等线(中文正文)"/>
          <w:b w:val="false"/>
          <w:i w:val="false"/>
          <w:sz w:val="20"/>
        </w:rPr>
        <w:t>发言人1 答：该电厂全年满产时的用气需求预计在8到9亿方左右，而首年的用量会相对较小。</w:t>
      </w:r>
    </w:p>
    <w:p>
      <w:r>
        <w:rPr>
          <w:rFonts w:ascii="等线(中文正文)" w:hAnsi="等线(中文正文)" w:cs="等线(中文正文)" w:eastAsia="等线(中文正文)"/>
          <w:b w:val="false"/>
          <w:i w:val="false"/>
          <w:sz w:val="20"/>
        </w:rPr>
        <w:t/>
      </w:r>
    </w:p>
    <w:p>
      <w:pPr>
        <w:pStyle w:val="ab"/>
      </w:pPr>
      <w:r>
        <w:t>发言人1 问：电厂的上游气源是由贵公司完全提供还是也有其他供应商参与？</w:t>
      </w:r>
    </w:p>
    <w:p>
      <w:r>
        <w:rPr>
          <w:rFonts w:ascii="等线(中文正文)" w:hAnsi="等线(中文正文)" w:cs="等线(中文正文)" w:eastAsia="等线(中文正文)"/>
          <w:b w:val="false"/>
          <w:i w:val="false"/>
          <w:sz w:val="20"/>
        </w:rPr>
        <w:t>发言人1 答：贵公司是主要的供应商，但电厂也会寻求其他资源以保障供应。</w:t>
      </w:r>
    </w:p>
    <w:p>
      <w:r>
        <w:rPr>
          <w:rFonts w:ascii="等线(中文正文)" w:hAnsi="等线(中文正文)" w:cs="等线(中文正文)" w:eastAsia="等线(中文正文)"/>
          <w:b w:val="false"/>
          <w:i w:val="false"/>
          <w:sz w:val="20"/>
        </w:rPr>
        <w:t/>
      </w:r>
    </w:p>
    <w:p>
      <w:pPr>
        <w:pStyle w:val="ab"/>
      </w:pPr>
      <w:r>
        <w:t>发言人1 问：对于平台系列的价差，由于二季度以来全球能源价格较一季度有所上涨，我们是否预期二季度平台系列的杂差会有所增加，无法维持当前水平？</w:t>
      </w:r>
    </w:p>
    <w:p>
      <w:r>
        <w:rPr>
          <w:rFonts w:ascii="等线(中文正文)" w:hAnsi="等线(中文正文)" w:cs="等线(中文正文)" w:eastAsia="等线(中文正文)"/>
          <w:b w:val="false"/>
          <w:i w:val="false"/>
          <w:sz w:val="20"/>
        </w:rPr>
        <w:t>发言人1 答：因为我们的价差（五毛钱）主要是由于国内资源成本下降带来的。国际端通常在淡季锁定较高价格，所以国际平台期的价差已基本锁定，不会带来太大益处。随着油价上涨，国内平台的成本会上升，因此单看国内平台系，由于一季度是四毛钱，二季度价差会有收窄趋势，整体来看，二季度价差会相对走弱。</w:t>
      </w:r>
    </w:p>
    <w:p>
      <w:r>
        <w:rPr>
          <w:rFonts w:ascii="等线(中文正文)" w:hAnsi="等线(中文正文)" w:cs="等线(中文正文)" w:eastAsia="等线(中文正文)"/>
          <w:b w:val="false"/>
          <w:i w:val="false"/>
          <w:sz w:val="20"/>
        </w:rPr>
        <w:t/>
      </w:r>
    </w:p>
    <w:p>
      <w:pPr>
        <w:pStyle w:val="ab"/>
      </w:pPr>
      <w:r>
        <w:t>发言人1 问：根据PPT第八页信息，三条船出口至欧洲，四条船进口到中国。鉴于当前海外价差增高，我们是否考虑将更多运量拉回国内？</w:t>
      </w:r>
    </w:p>
    <w:p>
      <w:r>
        <w:rPr>
          <w:rFonts w:ascii="等线(中文正文)" w:hAnsi="等线(中文正文)" w:cs="等线(中文正文)" w:eastAsia="等线(中文正文)"/>
          <w:b w:val="false"/>
          <w:i w:val="false"/>
          <w:sz w:val="20"/>
        </w:rPr>
        <w:t>发言人1 答：目前没有进口到国内的计划，临近时会根据国际价差、运费、运转天数等因素进行动态调整。现阶段来看，出口到国外的经济效益更好。</w:t>
      </w:r>
    </w:p>
    <w:p>
      <w:r>
        <w:rPr>
          <w:rFonts w:ascii="等线(中文正文)" w:hAnsi="等线(中文正文)" w:cs="等线(中文正文)" w:eastAsia="等线(中文正文)"/>
          <w:b w:val="false"/>
          <w:i w:val="false"/>
          <w:sz w:val="20"/>
        </w:rPr>
        <w:t/>
      </w:r>
    </w:p>
    <w:p>
      <w:pPr>
        <w:pStyle w:val="ab"/>
      </w:pPr>
      <w:r>
        <w:t>发言人1 问：关于刚才提到的三毛钱平台价差，对于今年这个数值是否相对保守？鉴于一季度已经达到了五毛，是否给得太低了？</w:t>
      </w:r>
    </w:p>
    <w:p>
      <w:r>
        <w:rPr>
          <w:rFonts w:ascii="等线(中文正文)" w:hAnsi="等线(中文正文)" w:cs="等线(中文正文)" w:eastAsia="等线(中文正文)"/>
          <w:b w:val="false"/>
          <w:i w:val="false"/>
          <w:sz w:val="20"/>
        </w:rPr>
        <w:t>发言人1 答：我们不想给大家一个过于乐观的预期，一季度的价差受制于油价低位的状态，未来的市场形势存在不确定性。同时，中石油的长约资源竞争力会因油价上涨而发生变化，现货窗口的开启也需要等待整个资源盘子的情况。我们提供的三毛钱价差是一个基于当前能保障实现的水平。</w:t>
      </w:r>
    </w:p>
    <w:p>
      <w:r>
        <w:rPr>
          <w:rFonts w:ascii="等线(中文正文)" w:hAnsi="等线(中文正文)" w:cs="等线(中文正文)" w:eastAsia="等线(中文正文)"/>
          <w:b w:val="false"/>
          <w:i w:val="false"/>
          <w:sz w:val="20"/>
        </w:rPr>
        <w:t/>
      </w:r>
    </w:p>
    <w:p>
      <w:pPr>
        <w:pStyle w:val="ab"/>
      </w:pPr>
      <w:r>
        <w:t>发言人1 问：Q1接收站的构成是怎么样的？全年预计的接收站量是多少？疫情构成是多少？来自中石油、中石化以及第三方的接线量大概是多少？</w:t>
      </w:r>
    </w:p>
    <w:p>
      <w:r>
        <w:rPr>
          <w:rFonts w:ascii="等线(中文正文)" w:hAnsi="等线(中文正文)" w:cs="等线(中文正文)" w:eastAsia="等线(中文正文)"/>
          <w:b w:val="false"/>
          <w:i w:val="false"/>
          <w:sz w:val="20"/>
        </w:rPr>
        <w:t>发言人1 答：在一季度，实际接收站接线为三船，其中内部有两船，外部有一船。全年预计接收站船期约为39船，去年为40船。其中约2/3的量是自有资源，1/3是第三方资源。这一数字还需视后续是否有现货进口窗口而定，整体水平与去年基本持平。</w:t>
      </w:r>
    </w:p>
    <w:p>
      <w:r>
        <w:rPr>
          <w:rFonts w:ascii="等线(中文正文)" w:hAnsi="等线(中文正文)" w:cs="等线(中文正文)" w:eastAsia="等线(中文正文)"/>
          <w:b w:val="false"/>
          <w:i w:val="false"/>
          <w:sz w:val="20"/>
        </w:rPr>
        <w:t/>
      </w:r>
    </w:p>
    <w:p>
      <w:pPr>
        <w:pStyle w:val="ab"/>
      </w:pPr>
      <w:r>
        <w:t>发言人1 问：我们利润的预计其实是不能在交易的情况下，我能否不分享利润预计的情况下，分享一些业务的原因？在极端情况下，公司利润的最差情况是怎样的？</w:t>
      </w:r>
    </w:p>
    <w:p>
      <w:r>
        <w:rPr>
          <w:rFonts w:ascii="等线(中文正文)" w:hAnsi="等线(中文正文)" w:cs="等线(中文正文)" w:eastAsia="等线(中文正文)"/>
          <w:b w:val="false"/>
          <w:i w:val="false"/>
          <w:sz w:val="20"/>
        </w:rPr>
        <w:t>发言人1 答：因为公司是一个全场景的业务，海外价格波动会影响公司现货长长约的动态调整，这种调整是为了最大化公司的利润。如果只聚焦某一业务而不考虑整体链条的利润，可能无法准确理解公司的利润状况。在极端情况下，比如一季度时，由于国内价格偏低且创新不明显，接收站利润会有所下降，但原有罐融租赁业务相对稳定。此外，还会暂停部分半途报销业务。不过，公司会通过合理合规的方式及税收优惠主体开展业务，并将各个业务板块的利润加总来看。整体而言，公司对今年的应用持相对乐观态度，认为大环境对公司利大于弊。</w:t>
      </w:r>
    </w:p>
    <w:p>
      <w:r>
        <w:rPr>
          <w:rFonts w:ascii="等线(中文正文)" w:hAnsi="等线(中文正文)" w:cs="等线(中文正文)" w:eastAsia="等线(中文正文)"/>
          <w:b w:val="false"/>
          <w:i w:val="false"/>
          <w:sz w:val="20"/>
        </w:rPr>
        <w:t/>
      </w:r>
    </w:p>
    <w:p>
      <w:pPr>
        <w:pStyle w:val="ab"/>
      </w:pPr>
      <w:r>
        <w:t>发言人1 问：是否有关于接收站接卸量盈亏平衡点的相关数据？</w:t>
      </w:r>
    </w:p>
    <w:p>
      <w:r>
        <w:rPr>
          <w:rFonts w:ascii="等线(中文正文)" w:hAnsi="等线(中文正文)" w:cs="等线(中文正文)" w:eastAsia="等线(中文正文)"/>
          <w:b w:val="false"/>
          <w:i w:val="false"/>
          <w:sz w:val="20"/>
        </w:rPr>
        <w:t>发言人1 答：接收站目前开展多元业务，一季度即使只完成了四成任务，净利润也超过1.2亿。由于是多个业务组合的结果，难以直接给出盈亏平衡点的接卸量。若只看接收站业务本身，可以计算出盈亏平衡点接卸量，会后可以提供更新的数据信息。</w:t>
      </w:r>
    </w:p>
    <w:p>
      <w:r>
        <w:rPr>
          <w:rFonts w:ascii="等线(中文正文)" w:hAnsi="等线(中文正文)" w:cs="等线(中文正文)" w:eastAsia="等线(中文正文)"/>
          <w:b w:val="false"/>
          <w:i w:val="false"/>
          <w:sz w:val="20"/>
        </w:rPr>
        <w:t/>
      </w:r>
    </w:p>
    <w:p>
      <w:pPr>
        <w:pStyle w:val="ab"/>
      </w:pPr>
      <w:r>
        <w:t>发言人1 问：对于当前能源危机背景下，公司管理层还有什么补充内容给投资者？</w:t>
      </w:r>
    </w:p>
    <w:p>
      <w:r>
        <w:rPr>
          <w:rFonts w:ascii="等线(中文正文)" w:hAnsi="等线(中文正文)" w:cs="等线(中文正文)" w:eastAsia="等线(中文正文)"/>
          <w:b w:val="false"/>
          <w:i w:val="false"/>
          <w:sz w:val="20"/>
        </w:rPr>
        <w:t>发言人1 答：管理层认为中东战争导致的市场变化具有长期性、复杂性和高波动性特点。对于公司而言，虽然油气价格上涨会带来下游业务成本上升的影响，但公司拥有国际上游资源，能够在价格上涨中获益，起到对冲效果。公司将重点做好下游市场的价格顺调和成本控制，同时抓住国际市场机会以实现更好的盈利。在动荡复杂的市场环境中，公司全产业链、全场景布局的优势得以凸显，历经多种市场状况仍保持稳定增长态势。展望未来，公司有信心在复杂的环境中保持稳定的经营业绩，回馈投资者。</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