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四维图新 260429_导读</w:t>
      </w:r>
    </w:p>
    <w:p>
      <w:pPr>
        <w:pStyle w:val="a0"/>
        <w:jc w:val="center"/>
      </w:pPr>
      <w:r>
        <w:t>2026年05月05日 23:04</w:t>
      </w:r>
    </w:p>
    <w:p>
      <w:pPr>
        <w:pStyle w:val="a7"/>
      </w:pPr>
      <w:r>
        <w:t>关键词</w:t>
      </w:r>
    </w:p>
    <w:p>
      <w:r>
        <w:rPr>
          <w:rFonts w:ascii="等线(中文正文)" w:hAnsi="等线(中文正文)" w:cs="等线(中文正文)" w:eastAsia="等线(中文正文)"/>
          <w:b w:val="false"/>
          <w:i w:val="false"/>
          <w:sz w:val="20"/>
        </w:rPr>
        <w:t xml:space="preserve">GDP加高通 建制机器人 新增量产定点 主流车企 定点车型 IT办公室 AI变革 生产力提升 产品力突破 全公司人效 品牌升级 亏损 营收 毛利率 研发投入 上市公司 汽车行业 竞争 技术生态 商业化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在过去一年里，公司实现了战略上的显著进展，成功填补了算法领域的空白，实现了全站支架解决方案的覆盖，大大增强了技术和产品的竞争力。在智能汽车领域，公司业绩增长显著，并通过设立IT办公室，加速了AI技术在生产及产品力上的应用，提升了人效。公司还在合规数据处理和云服务方面取得了进步，支持客户满足高质量的数据处理及云端IT服务需求，促进了业务快速发展。此外，公司与主流车企合作，在智能网联技术方面取得了量产定点累计突破680万套的成绩。同时，公司在数据合规业务上取得成就，为国际出海及自动驾驶领域提供了重要支持。展望未来，公司计划深化在智能汽车和具身智能领域的布局，推动技术创新、生态建设与商业模式革新，以达成更长远的发展目标。</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公司战略布局与技术革新成果汇报</w:t>
      </w:r>
    </w:p>
    <w:p>
      <w:r>
        <w:rPr>
          <w:rFonts w:ascii="等线(中文正文)" w:hAnsi="等线(中文正文)" w:cs="等线(中文正文)" w:eastAsia="等线(中文正文)"/>
          <w:b w:val="false"/>
          <w:i w:val="false"/>
          <w:sz w:val="20"/>
        </w:rPr>
        <w:t>对话围绕公司2025年的战略布局与技术革新展开，强调了投资建制完成第一大股东地位，补齐算法短板，实现全阶解决方案覆盖；新增量产定点突破680万套，覆盖多家主流车企；成立IT办公室推动AI变革，提升内部管理与人效，全年人效同比增长近60%；品牌成功转型为AI驱动，聚焦物理世界理解与交互，实现营收41.25亿，同比增长27.25%，智云与智鑫业务显著增长。</w:t>
      </w:r>
    </w:p>
    <w:p>
      <w:r>
        <w:rPr>
          <w:rFonts w:ascii="等线(中文正文)" w:hAnsi="等线(中文正文)" w:cs="等线(中文正文)" w:eastAsia="等线(中文正文)"/>
          <w:b w:val="false"/>
          <w:i w:val="false"/>
          <w:sz w:val="20"/>
        </w:rPr>
        <w:t/>
      </w:r>
    </w:p>
    <w:p>
      <w:pPr>
        <w:pStyle w:val="ab"/>
        <w:numPr>
          <w:numId w:val="2"/>
        </w:numPr>
      </w:pPr>
      <w:r>
        <w:t>05:17 数据合规与自动驾驶技术推动公司业绩增长</w:t>
      </w:r>
    </w:p>
    <w:p>
      <w:r>
        <w:rPr>
          <w:rFonts w:ascii="等线(中文正文)" w:hAnsi="等线(中文正文)" w:cs="等线(中文正文)" w:eastAsia="等线(中文正文)"/>
          <w:b w:val="false"/>
          <w:i w:val="false"/>
          <w:sz w:val="20"/>
        </w:rPr>
        <w:t>对话强调了数据合规和自动驾驶技术对公司业绩的推动作用。自相关政策法规明确后，公司股价涨停，合规业务收入显著增长。公司提供包括数据采集、合规处理和云端管理在内的闭环解决方案，获得国内外头部客户认可。此外，公司开发出车端合规端加云技术，参与多项国家级项目，构建全球数据合规闭环，支持车企安全出海。在车路云项目方面，公司中标北京市车域名3.0，持续跟进4.0项目。基于地平线高6B的解决方案成为行业首个落地，公司产品矩阵覆盖高中低阶，具备极致性价比和体验，客户反馈正面。量产阶段需解决复杂场景下的感知模型问题，确保稳定性，以应对大规模扩张和成本控制的挑战。预计中长期订单释放将改善公司业绩。</w:t>
      </w:r>
    </w:p>
    <w:p>
      <w:r>
        <w:rPr>
          <w:rFonts w:ascii="等线(中文正文)" w:hAnsi="等线(中文正文)" w:cs="等线(中文正文)" w:eastAsia="等线(中文正文)"/>
          <w:b w:val="false"/>
          <w:i w:val="false"/>
          <w:sz w:val="20"/>
        </w:rPr>
        <w:t/>
      </w:r>
    </w:p>
    <w:p>
      <w:pPr>
        <w:pStyle w:val="ab"/>
        <w:numPr>
          <w:numId w:val="3"/>
        </w:numPr>
      </w:pPr>
      <w:r>
        <w:t>12:42 捷发科技：国产汽车芯片领航者，智能机器人新赛道领跑</w:t>
      </w:r>
    </w:p>
    <w:p>
      <w:r>
        <w:rPr>
          <w:rFonts w:ascii="等线(中文正文)" w:hAnsi="等线(中文正文)" w:cs="等线(中文正文)" w:eastAsia="等线(中文正文)"/>
          <w:b w:val="false"/>
          <w:i w:val="false"/>
          <w:sz w:val="20"/>
        </w:rPr>
        <w:t>捷发科技在汽车芯片国产化浪潮中占据有利位置，25年销量双破亿，市场份额位居榜首。凭借卓越性能，赢得众多电池厂和新势力车型信赖。展望未来，公司瞄准汽车智能化、电动化趋势，拓展智能机器人赛道，发布数据综合解决方案，覆盖智能汽车、机器人、低空飞行等多个场景，展现出强劲增长势头和广阔市场前景。</w:t>
      </w:r>
    </w:p>
    <w:p>
      <w:r>
        <w:rPr>
          <w:rFonts w:ascii="等线(中文正文)" w:hAnsi="等线(中文正文)" w:cs="等线(中文正文)" w:eastAsia="等线(中文正文)"/>
          <w:b w:val="false"/>
          <w:i w:val="false"/>
          <w:sz w:val="20"/>
        </w:rPr>
        <w:t/>
      </w:r>
    </w:p>
    <w:p>
      <w:pPr>
        <w:pStyle w:val="ab"/>
        <w:numPr>
          <w:numId w:val="4"/>
        </w:numPr>
      </w:pPr>
      <w:r>
        <w:t>16:52 2025年度财务报告：营收增长与毛利率下降的挑战</w:t>
      </w:r>
    </w:p>
    <w:p>
      <w:r>
        <w:rPr>
          <w:rFonts w:ascii="等线(中文正文)" w:hAnsi="等线(中文正文)" w:cs="等线(中文正文)" w:eastAsia="等线(中文正文)"/>
          <w:b w:val="false"/>
          <w:i w:val="false"/>
          <w:sz w:val="20"/>
        </w:rPr>
        <w:t>2025年，公司实现41亿总营收，同比增长17%，主要增长点为智能与智新板块。毛利率降至25%左右，受合规服务收入占比提升及市场竞争加剧影响。尽管净利润达1亿以上，但经营亏损扩大，研发投入大幅增加。行业整体处于亏损状态，需百万台规模摊薄研发成本。</w:t>
      </w:r>
    </w:p>
    <w:p>
      <w:r>
        <w:rPr>
          <w:rFonts w:ascii="等线(中文正文)" w:hAnsi="等线(中文正文)" w:cs="等线(中文正文)" w:eastAsia="等线(中文正文)"/>
          <w:b w:val="false"/>
          <w:i w:val="false"/>
          <w:sz w:val="20"/>
        </w:rPr>
        <w:t/>
      </w:r>
    </w:p>
    <w:p>
      <w:pPr>
        <w:pStyle w:val="ab"/>
        <w:numPr>
          <w:numId w:val="5"/>
        </w:numPr>
      </w:pPr>
      <w:r>
        <w:t>24:57 26年Q1公司财务表现与业务增长分析</w:t>
      </w:r>
    </w:p>
    <w:p>
      <w:r>
        <w:rPr>
          <w:rFonts w:ascii="等线(中文正文)" w:hAnsi="等线(中文正文)" w:cs="等线(中文正文)" w:eastAsia="等线(中文正文)"/>
          <w:b w:val="false"/>
          <w:i w:val="false"/>
          <w:sz w:val="20"/>
        </w:rPr>
        <w:t>26年Q1公司收入达8.57亿，同比增长13%，主要由自营合规业务拉动。毛利水平企稳，利润略增。最大板块脱离上市公司体系后，研发投入节约，参股建设公司亏损按持股比例计算，影响利润。整体业务分布平稳，无大幅变化。</w:t>
      </w:r>
    </w:p>
    <w:p>
      <w:r>
        <w:rPr>
          <w:rFonts w:ascii="等线(中文正文)" w:hAnsi="等线(中文正文)" w:cs="等线(中文正文)" w:eastAsia="等线(中文正文)"/>
          <w:b w:val="false"/>
          <w:i w:val="false"/>
          <w:sz w:val="20"/>
        </w:rPr>
        <w:t/>
      </w:r>
    </w:p>
    <w:p>
      <w:pPr>
        <w:pStyle w:val="ab"/>
        <w:numPr>
          <w:numId w:val="6"/>
        </w:numPr>
      </w:pPr>
      <w:r>
        <w:t>27:28 芯片企业SOC与MCU产品线进展及市场拓展</w:t>
      </w:r>
    </w:p>
    <w:p>
      <w:r>
        <w:rPr>
          <w:rFonts w:ascii="等线(中文正文)" w:hAnsi="等线(中文正文)" w:cs="等线(中文正文)" w:eastAsia="等线(中文正文)"/>
          <w:b w:val="false"/>
          <w:i w:val="false"/>
          <w:sz w:val="20"/>
        </w:rPr>
        <w:t>对话分享了芯片企业在SOC和MCU产品线上的进展，包括在海外市场和两轮车智能化领域取得的重大突破，以及MCU产品布局的完善和全球化市场拓展的成功案例，展现了企业产品和服务在国内外市场的广泛应用和认可。</w:t>
      </w:r>
    </w:p>
    <w:p>
      <w:r>
        <w:rPr>
          <w:rFonts w:ascii="等线(中文正文)" w:hAnsi="等线(中文正文)" w:cs="等线(中文正文)" w:eastAsia="等线(中文正文)"/>
          <w:b w:val="false"/>
          <w:i w:val="false"/>
          <w:sz w:val="20"/>
        </w:rPr>
        <w:t/>
      </w:r>
    </w:p>
    <w:p>
      <w:pPr>
        <w:pStyle w:val="ab"/>
        <w:numPr>
          <w:numId w:val="7"/>
        </w:numPr>
      </w:pPr>
      <w:r>
        <w:t>32:14 两轮车智能化与MCU研发方向探讨</w:t>
      </w:r>
    </w:p>
    <w:p>
      <w:r>
        <w:rPr>
          <w:rFonts w:ascii="等线(中文正文)" w:hAnsi="等线(中文正文)" w:cs="等线(中文正文)" w:eastAsia="等线(中文正文)"/>
          <w:b w:val="false"/>
          <w:i w:val="false"/>
          <w:sz w:val="20"/>
        </w:rPr>
        <w:t>对话讨论了两轮车市场的智能化进程及收入增长预期，指出主机厂和系统商需时间准备，预计年底量产将推动销量增长。同时，明确了MCU未来研发的四大方向：提升算力、动能安全、应用护城河场景及拓展至移动智能体领域。</w:t>
      </w:r>
    </w:p>
    <w:p>
      <w:r>
        <w:rPr>
          <w:rFonts w:ascii="等线(中文正文)" w:hAnsi="等线(中文正文)" w:cs="等线(中文正文)" w:eastAsia="等线(中文正文)"/>
          <w:b w:val="false"/>
          <w:i w:val="false"/>
          <w:sz w:val="20"/>
        </w:rPr>
        <w:t/>
      </w:r>
    </w:p>
    <w:p>
      <w:pPr>
        <w:pStyle w:val="ab"/>
        <w:numPr>
          <w:numId w:val="8"/>
        </w:numPr>
      </w:pPr>
      <w:r>
        <w:t>35:22 解读汽车数据安全指引与合规生物优势及未来机遇</w:t>
      </w:r>
    </w:p>
    <w:p>
      <w:r>
        <w:rPr>
          <w:rFonts w:ascii="等线(中文正文)" w:hAnsi="等线(中文正文)" w:cs="等线(中文正文)" w:eastAsia="等线(中文正文)"/>
          <w:b w:val="false"/>
          <w:i w:val="false"/>
          <w:sz w:val="20"/>
        </w:rPr>
        <w:t>对话解读了汽车数据安全指引政策，强调其对行业数据合规的重要性及国际化的推动作用。随后，讨论了合规生物在数据服务领域的长期积累与优势，以及2026年面临的智能化趋势下的新机遇，包括与汽车、人工智能及云服务合作伙伴的深化合作。</w:t>
      </w:r>
    </w:p>
    <w:p>
      <w:r>
        <w:rPr>
          <w:rFonts w:ascii="等线(中文正文)" w:hAnsi="等线(中文正文)" w:cs="等线(中文正文)" w:eastAsia="等线(中文正文)"/>
          <w:b w:val="false"/>
          <w:i w:val="false"/>
          <w:sz w:val="20"/>
        </w:rPr>
        <w:t/>
      </w:r>
    </w:p>
    <w:p>
      <w:pPr>
        <w:pStyle w:val="ab"/>
        <w:numPr>
          <w:numId w:val="9"/>
        </w:numPr>
      </w:pPr>
      <w:r>
        <w:t>39:59 合规业务增长驱动因素与未来展望</w:t>
      </w:r>
    </w:p>
    <w:p>
      <w:r>
        <w:rPr>
          <w:rFonts w:ascii="等线(中文正文)" w:hAnsi="等线(中文正文)" w:cs="等线(中文正文)" w:eastAsia="等线(中文正文)"/>
          <w:b w:val="false"/>
          <w:i w:val="false"/>
          <w:sz w:val="20"/>
        </w:rPr>
        <w:t>对话探讨了合规业务连续几年快速增长的驱动因素，包括无人运输、具身智能场景等多元化服务领域的拓展，以及国内外数据处理闭环的建立。这些因素共同推动了合规服务能力的扩展，预期未来增长将持续，特别是在智能网联示范区、自动驾驶示范区及无人车监管领域。</w:t>
      </w:r>
    </w:p>
    <w:p>
      <w:r>
        <w:rPr>
          <w:rFonts w:ascii="等线(中文正文)" w:hAnsi="等线(中文正文)" w:cs="等线(中文正文)" w:eastAsia="等线(中文正文)"/>
          <w:b w:val="false"/>
          <w:i w:val="false"/>
          <w:sz w:val="20"/>
        </w:rPr>
        <w:t/>
      </w:r>
    </w:p>
    <w:p>
      <w:pPr>
        <w:pStyle w:val="ab"/>
        <w:numPr>
          <w:numId w:val="10"/>
        </w:numPr>
      </w:pPr>
      <w:r>
        <w:t>43:12 数据处理与合规策略在车端与机器人端的差异探讨</w:t>
      </w:r>
    </w:p>
    <w:p>
      <w:r>
        <w:rPr>
          <w:rFonts w:ascii="等线(中文正文)" w:hAnsi="等线(中文正文)" w:cs="等线(中文正文)" w:eastAsia="等线(中文正文)"/>
          <w:b w:val="false"/>
          <w:i w:val="false"/>
          <w:sz w:val="20"/>
        </w:rPr>
        <w:t>讨论了车端与机器人端在数据处理和合规方面的区别，车端因活动范围大、用户数量多，需处理更广泛的空间数据集，而机器人端如马拉松场景则数据范围固定可控。此外，针对数据合规，指出标准化难度大，需根据具体设备选型和算法沟通后确定技术方案和数据处理规模，以评估收益。会议最后感谢参与者并结束。</w:t>
      </w:r>
    </w:p>
    <w:p>
      <w:r>
        <w:rPr>
          <w:rFonts w:ascii="等线(中文正文)" w:hAnsi="等线(中文正文)" w:cs="等线(中文正文)" w:eastAsia="等线(中文正文)"/>
          <w:b w:val="false"/>
          <w:i w:val="false"/>
          <w:sz w:val="20"/>
        </w:rPr>
        <w:t/>
      </w:r>
    </w:p>
    <w:p>
      <w:pPr>
        <w:pStyle w:val="a7"/>
      </w:pPr>
      <w:r>
        <w:t>发言总结</w:t>
      </w:r>
    </w:p>
    <w:p>
      <w:pPr>
        <w:pStyle w:val="ab"/>
        <w:numPr>
          <w:numId w:val="11"/>
        </w:numPr>
      </w:pPr>
      <w:r>
        <w:t>发言人1</w:t>
      </w:r>
    </w:p>
    <w:p>
      <w:r>
        <w:rPr>
          <w:rFonts w:ascii="等线(中文正文)" w:hAnsi="等线(中文正文)" w:cs="等线(中文正文)" w:eastAsia="等线(中文正文)"/>
          <w:b w:val="false"/>
          <w:i w:val="false"/>
          <w:sz w:val="20"/>
        </w:rPr>
        <w:t>概述了公司近年来在战略发展、技术创新和业务增长方面的关键进展。首先，通过在2025年9月至12月期间完成对建制的投资，公司补齐了中高阶算法的短板，形成了GDP与高通的双平台布局，实现了低中高阶全站支架解决方案的能力覆盖。累计新增量产定点突破680万套，覆盖二十多家主流车企和一百多个定点车型，展示了公司产品的市场接受度和质量。同时，公司于2025年成立了IT办公室，推动AI变革，强调战略AI在生产力提升和产品力突破上的作用，人效同比增长了近60%。技术迁徙的必要性也被讨论，特别是在合规数据处理方面的增长，从2025年合规收入达到11亿的增长速度。此外，公司在智能汽车领域的努力，包括车端合规的端加云技术解决方案，与地平线合作的进展，展示了公司在智能网联和自动驾驶技术方面的前沿探索。财务方面，尽管公司在研发和制造领域有大幅投入，导致2025年的毛利率和净利润受到一定影响，但通过出海市场的拓展、产品线的多元化以及与国内外合作伙伴的合作，公司实现了41.25亿的年度营收增长27.25%，并预计未来将进一步增长。最后，他详细介绍了公司在芯片和数据合规业务上的进展，包括SOC和MCU产品的突破，以及在两轮车领域的合规技术应用。</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问：在25年期间，公司在战略进阶方面有哪些关键动作和成果？</w:t>
      </w:r>
    </w:p>
    <w:p>
      <w:r>
        <w:rPr>
          <w:rFonts w:ascii="等线(中文正文)" w:hAnsi="等线(中文正文)" w:cs="等线(中文正文)" w:eastAsia="等线(中文正文)"/>
          <w:b w:val="false"/>
          <w:i w:val="false"/>
          <w:sz w:val="20"/>
        </w:rPr>
        <w:t>发言人1 答：在25年9月至12月，公司完成了对建制的投资，成为了第一大股东，通过这一动作补足了中高阶算法短板，形成了GDP加高通的双形态平台布局，覆盖了低中高阶全站支架解决方案的能力。此外，布局建制机器人后，新增量产定点累计突破了680万套，覆盖了二十多家主流车企及124个定点车型，实现了质的飞跃和产品短板的补足。</w:t>
      </w:r>
    </w:p>
    <w:p>
      <w:r>
        <w:rPr>
          <w:rFonts w:ascii="等线(中文正文)" w:hAnsi="等线(中文正文)" w:cs="等线(中文正文)" w:eastAsia="等线(中文正文)"/>
          <w:b w:val="false"/>
          <w:i w:val="false"/>
          <w:sz w:val="20"/>
        </w:rPr>
        <w:t/>
      </w:r>
    </w:p>
    <w:p>
      <w:pPr>
        <w:pStyle w:val="ab"/>
      </w:pPr>
      <w:r>
        <w:t>发言人1 问：公司如何总结“技术的月月迁”这一战略方向的进展如何？</w:t>
      </w:r>
    </w:p>
    <w:p>
      <w:r>
        <w:rPr>
          <w:rFonts w:ascii="等线(中文正文)" w:hAnsi="等线(中文正文)" w:cs="等线(中文正文)" w:eastAsia="等线(中文正文)"/>
          <w:b w:val="false"/>
          <w:i w:val="false"/>
          <w:sz w:val="20"/>
        </w:rPr>
        <w:t>发言人1 答：公司在25年成立了IT办公室，积极响应AI大潮，推动AI变革以提升生产力和产品力。具体表现为内部管理工具覆盖度提高，通过AI优化代码兜底、数据积累和协同工作，使全公司人效同比增长约60%，达到220万人效左右，并预计今年还有进一步增长。</w:t>
      </w:r>
    </w:p>
    <w:p>
      <w:r>
        <w:rPr>
          <w:rFonts w:ascii="等线(中文正文)" w:hAnsi="等线(中文正文)" w:cs="等线(中文正文)" w:eastAsia="等线(中文正文)"/>
          <w:b w:val="false"/>
          <w:i w:val="false"/>
          <w:sz w:val="20"/>
        </w:rPr>
        <w:t/>
      </w:r>
    </w:p>
    <w:p>
      <w:pPr>
        <w:pStyle w:val="ab"/>
      </w:pPr>
      <w:r>
        <w:t>发言人1 问：公司的品牌定位经历了怎样的转变？</w:t>
      </w:r>
    </w:p>
    <w:p>
      <w:r>
        <w:rPr>
          <w:rFonts w:ascii="等线(中文正文)" w:hAnsi="等线(中文正文)" w:cs="等线(中文正文)" w:eastAsia="等线(中文正文)"/>
          <w:b w:val="false"/>
          <w:i w:val="false"/>
          <w:sz w:val="20"/>
        </w:rPr>
        <w:t>发言人1 答：公司从最初基于地理信息智能化智能车解决方案的品牌定位成功转型为新型q one，认为AI正在驱动生产力和商业模式重构，因此发展方向由数字世界的语言智能内容生成转向对物理世界的理解交互和改造。</w:t>
      </w:r>
    </w:p>
    <w:p>
      <w:r>
        <w:rPr>
          <w:rFonts w:ascii="等线(中文正文)" w:hAnsi="等线(中文正文)" w:cs="等线(中文正文)" w:eastAsia="等线(中文正文)"/>
          <w:b w:val="false"/>
          <w:i w:val="false"/>
          <w:sz w:val="20"/>
        </w:rPr>
        <w:t/>
      </w:r>
    </w:p>
    <w:p>
      <w:pPr>
        <w:pStyle w:val="ab"/>
      </w:pPr>
      <w:r>
        <w:t>发言人1 问：公司在25年的营收情况及主要增长板块是什么？</w:t>
      </w:r>
    </w:p>
    <w:p>
      <w:r>
        <w:rPr>
          <w:rFonts w:ascii="等线(中文正文)" w:hAnsi="等线(中文正文)" w:cs="等线(中文正文)" w:eastAsia="等线(中文正文)"/>
          <w:b w:val="false"/>
          <w:i w:val="false"/>
          <w:sz w:val="20"/>
        </w:rPr>
        <w:t>发言人1 答：25年全年公司实现营收41.25亿，同比增长27.25%。其中，智云和智鑫业务实现了显著增长，智云收入为29亿，同比增长29%，而最新业务板块营收6.6亿，同比增长17%。</w:t>
      </w:r>
    </w:p>
    <w:p>
      <w:r>
        <w:rPr>
          <w:rFonts w:ascii="等线(中文正文)" w:hAnsi="等线(中文正文)" w:cs="等线(中文正文)" w:eastAsia="等线(中文正文)"/>
          <w:b w:val="false"/>
          <w:i w:val="false"/>
          <w:sz w:val="20"/>
        </w:rPr>
        <w:t/>
      </w:r>
    </w:p>
    <w:p>
      <w:pPr>
        <w:pStyle w:val="ab"/>
      </w:pPr>
      <w:r>
        <w:t>发言人1 问：数据合规对公司的业务增长有何影响？</w:t>
      </w:r>
    </w:p>
    <w:p>
      <w:r>
        <w:rPr>
          <w:rFonts w:ascii="等线(中文正文)" w:hAnsi="等线(中文正文)" w:cs="等线(中文正文)" w:eastAsia="等线(中文正文)"/>
          <w:b w:val="false"/>
          <w:i w:val="false"/>
          <w:sz w:val="20"/>
        </w:rPr>
        <w:t>发言人1 答：数据合规需求源于监管政策法规明确后，对公司股价产生积极影响，并促进了思维复兴板块中合规业务的快速成长，从2025年的11亿合规收入可以看出其快速增长趋势。同时，公司提供的数据闭环解决方案满足了自动驾驶行业对高质量数据处理和云端IT服务的需求，有力推动了业务增长。</w:t>
      </w:r>
    </w:p>
    <w:p>
      <w:r>
        <w:rPr>
          <w:rFonts w:ascii="等线(中文正文)" w:hAnsi="等线(中文正文)" w:cs="等线(中文正文)" w:eastAsia="等线(中文正文)"/>
          <w:b w:val="false"/>
          <w:i w:val="false"/>
          <w:sz w:val="20"/>
        </w:rPr>
        <w:t/>
      </w:r>
    </w:p>
    <w:p>
      <w:pPr>
        <w:pStyle w:val="ab"/>
      </w:pPr>
      <w:r>
        <w:t>发言人1 问：公司在前瞻技术投入和行业标准制定方面有哪些成果？</w:t>
      </w:r>
    </w:p>
    <w:p>
      <w:r>
        <w:rPr>
          <w:rFonts w:ascii="等线(中文正文)" w:hAnsi="等线(中文正文)" w:cs="等线(中文正文)" w:eastAsia="等线(中文正文)"/>
          <w:b w:val="false"/>
          <w:i w:val="false"/>
          <w:sz w:val="20"/>
        </w:rPr>
        <w:t>发言人1 答：公司持续投入大量资源研发前瞻技术，构建了大模型数据和端云结合的技术方案，并参与多项国家项目和技术研究。针对智能汽车量产需求，成功开发出车端合规的端加云整套技术，建立技术贡献与制度定责监管闭环治理框架，具备云中立多云协同能力，与多家云厂商如大力、火山AWS等合作，构建全球数据合规闭环，支持车企安全出海，输出高质量中国标准方案。</w:t>
      </w:r>
    </w:p>
    <w:p>
      <w:r>
        <w:rPr>
          <w:rFonts w:ascii="等线(中文正文)" w:hAnsi="等线(中文正文)" w:cs="等线(中文正文)" w:eastAsia="等线(中文正文)"/>
          <w:b w:val="false"/>
          <w:i w:val="false"/>
          <w:sz w:val="20"/>
        </w:rPr>
        <w:t/>
      </w:r>
    </w:p>
    <w:p>
      <w:pPr>
        <w:pStyle w:val="ab"/>
      </w:pPr>
      <w:r>
        <w:t>发言人1 问：公司在车路云项目方面的布局情况如何？</w:t>
      </w:r>
    </w:p>
    <w:p>
      <w:r>
        <w:rPr>
          <w:rFonts w:ascii="等线(中文正文)" w:hAnsi="等线(中文正文)" w:cs="等线(中文正文)" w:eastAsia="等线(中文正文)"/>
          <w:b w:val="false"/>
          <w:i w:val="false"/>
          <w:sz w:val="20"/>
        </w:rPr>
        <w:t>发言人1 答：公司是国内最早布局车路云产业的企业之一，已在北京市车路协同项目中中标3.0版本，并跟进4.0项目，目前在多个试点城市推进资金筹措和前期规划。</w:t>
      </w:r>
    </w:p>
    <w:p>
      <w:r>
        <w:rPr>
          <w:rFonts w:ascii="等线(中文正文)" w:hAnsi="等线(中文正文)" w:cs="等线(中文正文)" w:eastAsia="等线(中文正文)"/>
          <w:b w:val="false"/>
          <w:i w:val="false"/>
          <w:sz w:val="20"/>
        </w:rPr>
        <w:t/>
      </w:r>
    </w:p>
    <w:p>
      <w:pPr>
        <w:pStyle w:val="ab"/>
      </w:pPr>
      <w:r>
        <w:t>发言人1 问：资本层面整合后，公司在技术交付能力和产品性能上有何突破？</w:t>
      </w:r>
    </w:p>
    <w:p>
      <w:r>
        <w:rPr>
          <w:rFonts w:ascii="等线(中文正文)" w:hAnsi="等线(中文正文)" w:cs="等线(中文正文)" w:eastAsia="等线(中文正文)"/>
          <w:b w:val="false"/>
          <w:i w:val="false"/>
          <w:sz w:val="20"/>
        </w:rPr>
        <w:t>发言人1 答：基于地平线高6B的交付潮为公司带来重大机遇与挑战，公司成为行业首个落地该解决方案的企业。在视频生成质量、控制精度、稳定性以及复杂场景泛化能力和稳定性方面达到行业领先水平，累计出货已超130万套，具有丰富的算法落地经验、硬件BOM成本优势和不同芯片平台迁移研发周期优势，提供高中低阶全站量产方案，性价比和体验突出。</w:t>
      </w:r>
    </w:p>
    <w:p>
      <w:r>
        <w:rPr>
          <w:rFonts w:ascii="等线(中文正文)" w:hAnsi="等线(中文正文)" w:cs="等线(中文正文)" w:eastAsia="等线(中文正文)"/>
          <w:b w:val="false"/>
          <w:i w:val="false"/>
          <w:sz w:val="20"/>
        </w:rPr>
        <w:t/>
      </w:r>
    </w:p>
    <w:p>
      <w:pPr>
        <w:pStyle w:val="ab"/>
      </w:pPr>
      <w:r>
        <w:t>发言人1 问：在量产阶段，公司面临的主要技术挑战是什么？</w:t>
      </w:r>
    </w:p>
    <w:p>
      <w:r>
        <w:rPr>
          <w:rFonts w:ascii="等线(中文正文)" w:hAnsi="等线(中文正文)" w:cs="等线(中文正文)" w:eastAsia="等线(中文正文)"/>
          <w:b w:val="false"/>
          <w:i w:val="false"/>
          <w:sz w:val="20"/>
        </w:rPr>
        <w:t>发言人1 答：在量产阶段，我们面临的挑战主要包括场景泛化的复杂度和感知模型对动态障碍物的识别能力。量产与demo的最大区别在于不能仅关注个别指标表现好，而需要在速度、朝向、位置、精度以及识别种类等多个维度上实现稳定一致。即使是很小的1‱问题，在大规模销量下会变成确定性的投诉，因为自驾辅助系统要求极高的稳定性，任何故障或稳定性问题都是不可接受的。</w:t>
      </w:r>
    </w:p>
    <w:p>
      <w:r>
        <w:rPr>
          <w:rFonts w:ascii="等线(中文正文)" w:hAnsi="等线(中文正文)" w:cs="等线(中文正文)" w:eastAsia="等线(中文正文)"/>
          <w:b w:val="false"/>
          <w:i w:val="false"/>
          <w:sz w:val="20"/>
        </w:rPr>
        <w:t/>
      </w:r>
    </w:p>
    <w:p>
      <w:pPr>
        <w:pStyle w:val="ab"/>
      </w:pPr>
      <w:r>
        <w:t>发言人1 问：公司在汽车芯片领域取得了哪些突破和成就？</w:t>
      </w:r>
    </w:p>
    <w:p>
      <w:r>
        <w:rPr>
          <w:rFonts w:ascii="等线(中文正文)" w:hAnsi="等线(中文正文)" w:cs="等线(中文正文)" w:eastAsia="等线(中文正文)"/>
          <w:b w:val="false"/>
          <w:i w:val="false"/>
          <w:sz w:val="20"/>
        </w:rPr>
        <w:t>发言人1 答：公司在25年历史性地突破了SOC和MCU销量双破亿的里程碑，并在26年开局保持良好的增长势头。凭借多年积累和完整的产品矩阵，我们在汽车芯片国产化的浪潮中占据有利位置。根据高工智能统计的数据，23年到25年年上半年，自主品牌车型搭载中国心供应商中，我们公司的市场份额达到了35.74%，位居首位。</w:t>
      </w:r>
    </w:p>
    <w:p>
      <w:r>
        <w:rPr>
          <w:rFonts w:ascii="等线(中文正文)" w:hAnsi="等线(中文正文)" w:cs="等线(中文正文)" w:eastAsia="等线(中文正文)"/>
          <w:b w:val="false"/>
          <w:i w:val="false"/>
          <w:sz w:val="20"/>
        </w:rPr>
        <w:t/>
      </w:r>
    </w:p>
    <w:p>
      <w:pPr>
        <w:pStyle w:val="ab"/>
      </w:pPr>
      <w:r>
        <w:t>发言人1 问：公司在国际合作方面有哪些亮点？</w:t>
      </w:r>
    </w:p>
    <w:p>
      <w:r>
        <w:rPr>
          <w:rFonts w:ascii="等线(中文正文)" w:hAnsi="等线(中文正文)" w:cs="等线(中文正文)" w:eastAsia="等线(中文正文)"/>
          <w:b w:val="false"/>
          <w:i w:val="false"/>
          <w:sz w:val="20"/>
        </w:rPr>
        <w:t>发言人1 答：自21年起，我们与霍尼韦尔建立了合作关系，从MCU应用到电流传感器、新能源汽车动力电池等领域，凭借卓越性能和合理价格赢得了宁德时代等众多电池厂和新势力车型的高度信赖与广泛应用。霍尼韦尔对我们的口碑评价非常高，给予满分评价，这也鼓励了我们未来在深化汽车智能化、电动化趋势中，通过技术突破抓住巨量智能机器人赛道的新机会，进一步提升业绩和产品能力。</w:t>
      </w:r>
    </w:p>
    <w:p>
      <w:r>
        <w:rPr>
          <w:rFonts w:ascii="等线(中文正文)" w:hAnsi="等线(中文正文)" w:cs="等线(中文正文)" w:eastAsia="等线(中文正文)"/>
          <w:b w:val="false"/>
          <w:i w:val="false"/>
          <w:sz w:val="20"/>
        </w:rPr>
        <w:t/>
      </w:r>
    </w:p>
    <w:p>
      <w:pPr>
        <w:pStyle w:val="ab"/>
      </w:pPr>
      <w:r>
        <w:t>发言人1 问：公司在智能体相关领域有何布局和发展？</w:t>
      </w:r>
    </w:p>
    <w:p>
      <w:r>
        <w:rPr>
          <w:rFonts w:ascii="等线(中文正文)" w:hAnsi="等线(中文正文)" w:cs="等线(中文正文)" w:eastAsia="等线(中文正文)"/>
          <w:b w:val="false"/>
          <w:i w:val="false"/>
          <w:sz w:val="20"/>
        </w:rPr>
        <w:t>发言人1 答：我们公司在20年车展上首次发布了数据综合解决方案，包括智能体感知、数据采集方案以及全链路合规方案。在大规模应用场景如机器人、无人车、机械人马拉松等领域，我们利用高精度定位芯片模组和感知算法提供整体解决方案。这不仅限于智能汽车，还适用于机器人、低空飞行、车路云等多个场景，体现了公司在新赛道上的广阔发展前景。</w:t>
      </w:r>
    </w:p>
    <w:p>
      <w:r>
        <w:rPr>
          <w:rFonts w:ascii="等线(中文正文)" w:hAnsi="等线(中文正文)" w:cs="等线(中文正文)" w:eastAsia="等线(中文正文)"/>
          <w:b w:val="false"/>
          <w:i w:val="false"/>
          <w:sz w:val="20"/>
        </w:rPr>
        <w:t/>
      </w:r>
    </w:p>
    <w:p>
      <w:pPr>
        <w:pStyle w:val="ab"/>
      </w:pPr>
      <w:r>
        <w:t>发言人1 问：财务数据方面，2025年度及2023年Q1有哪些亮点？</w:t>
      </w:r>
    </w:p>
    <w:p>
      <w:r>
        <w:rPr>
          <w:rFonts w:ascii="等线(中文正文)" w:hAnsi="等线(中文正文)" w:cs="等线(中文正文)" w:eastAsia="等线(中文正文)"/>
          <w:b w:val="false"/>
          <w:i w:val="false"/>
          <w:sz w:val="20"/>
        </w:rPr>
        <w:t>发言人1 答：在2025全年，我们实现了41亿元的总营收，首次跨越40亿收入门槛，同比增长超过17%。收入增长主要来自智能板块（增长29%）和智新板块（增长17%）。其中，智云板块收入增长的主要来源是面向大众、宝马、沃尔沃等客户的数据合规业务，以及为小米、博世、地平线等千万客户及合作伙伴提供数据服务和车路云业务。智新板块收入增长主要来自于MCU板块的持续放量。尽管整体毛利率有所下降，但通过价格调整实现了出货量较大增长，达到了市场目标。此外，尽管报表规模净利润实现了一亿以上，但由于包含了较大的投资收益，去掉投资收益影响后，我们在金融端仍面临较大的经营压力和亏损。</w:t>
      </w:r>
    </w:p>
    <w:p>
      <w:r>
        <w:rPr>
          <w:rFonts w:ascii="等线(中文正文)" w:hAnsi="等线(中文正文)" w:cs="等线(中文正文)" w:eastAsia="等线(中文正文)"/>
          <w:b w:val="false"/>
          <w:i w:val="false"/>
          <w:sz w:val="20"/>
        </w:rPr>
        <w:t/>
      </w:r>
    </w:p>
    <w:p>
      <w:pPr>
        <w:pStyle w:val="ab"/>
      </w:pPr>
      <w:r>
        <w:t>发言人1 问：在25年，公司的营收增长和毛利率下降的主要原因是什么？</w:t>
      </w:r>
    </w:p>
    <w:p>
      <w:r>
        <w:rPr>
          <w:rFonts w:ascii="等线(中文正文)" w:hAnsi="等线(中文正文)" w:cs="等线(中文正文)" w:eastAsia="等线(中文正文)"/>
          <w:b w:val="false"/>
          <w:i w:val="false"/>
          <w:sz w:val="20"/>
        </w:rPr>
        <w:t>发言人1 答：25年公司营收增长但毛利率下降的主要原因有两个方面。首先，整体毛利水平有所降低，这导致了当年亏损的扩大。其次，在研发投入上，公司在制造领域进行了大幅调整和增加投入，尽管年底通过整合将部分业务分拆出去，但当年的研发增长依然对整体财务状况有显著影响。</w:t>
      </w:r>
    </w:p>
    <w:p>
      <w:r>
        <w:rPr>
          <w:rFonts w:ascii="等线(中文正文)" w:hAnsi="等线(中文正文)" w:cs="等线(中文正文)" w:eastAsia="等线(中文正文)"/>
          <w:b w:val="false"/>
          <w:i w:val="false"/>
          <w:sz w:val="20"/>
        </w:rPr>
        <w:t/>
      </w:r>
    </w:p>
    <w:p>
      <w:pPr>
        <w:pStyle w:val="ab"/>
      </w:pPr>
      <w:r>
        <w:t>发言人1 问：汽车行业在竞争方面有哪些变化？</w:t>
      </w:r>
    </w:p>
    <w:p>
      <w:r>
        <w:rPr>
          <w:rFonts w:ascii="等线(中文正文)" w:hAnsi="等线(中文正文)" w:cs="等线(中文正文)" w:eastAsia="等线(中文正文)"/>
          <w:b w:val="false"/>
          <w:i w:val="false"/>
          <w:sz w:val="20"/>
        </w:rPr>
        <w:t>发言人1 答：汽车行业竞争已从单一算法比拼阶段发展到技术生态商业化综合竞争阶段。电子化进程中，协同效应使得我们的产品能够与行业领先企业如龙门派、大江等展开正面竞争。同时，整个行业目前总体处于亏损状态，亏损原因包括技术路线迭代重构带来的成本、相互融合成本，以及大量订单交付周期带来的量产和工业化成本高等因素。</w:t>
      </w:r>
    </w:p>
    <w:p>
      <w:r>
        <w:rPr>
          <w:rFonts w:ascii="等线(中文正文)" w:hAnsi="等线(中文正文)" w:cs="等线(中文正文)" w:eastAsia="等线(中文正文)"/>
          <w:b w:val="false"/>
          <w:i w:val="false"/>
          <w:sz w:val="20"/>
        </w:rPr>
        <w:t/>
      </w:r>
    </w:p>
    <w:p>
      <w:pPr>
        <w:pStyle w:val="ab"/>
      </w:pPr>
      <w:r>
        <w:t>发言人1 问：对于整个26年Q1的情况，能否详细介绍一下？</w:t>
      </w:r>
    </w:p>
    <w:p>
      <w:r>
        <w:rPr>
          <w:rFonts w:ascii="等线(中文正文)" w:hAnsi="等线(中文正文)" w:cs="等线(中文正文)" w:eastAsia="等线(中文正文)"/>
          <w:b w:val="false"/>
          <w:i w:val="false"/>
          <w:sz w:val="20"/>
        </w:rPr>
        <w:t>发言人1 答：26年Q1公司实现了8.57亿的收入，保持了13%的增长态势。其中，自营板块尤其是合规业务是主要的增长动力。从毛利水平看，226年Q1已进入企稳状态，与25年整体水平相比基本持平，略有改善。此外，25年Q1利润为1.5亿，而20年Q1为1.4亿，主要是由于公司内部最大板块从上市公司体系中脱离，使得研发投入有所节约，并且参股建设公司带来的亏损按持股比例换算后对利润产生了一定贡献。</w:t>
      </w:r>
    </w:p>
    <w:p>
      <w:r>
        <w:rPr>
          <w:rFonts w:ascii="等线(中文正文)" w:hAnsi="等线(中文正文)" w:cs="等线(中文正文)" w:eastAsia="等线(中文正文)"/>
          <w:b w:val="false"/>
          <w:i w:val="false"/>
          <w:sz w:val="20"/>
        </w:rPr>
        <w:t/>
      </w:r>
    </w:p>
    <w:p>
      <w:pPr>
        <w:pStyle w:val="ab"/>
      </w:pPr>
      <w:r>
        <w:t>发言人1 问：在芯片产品线方面，SOC和MCU两个大的产品线有哪些进展可以分享？</w:t>
      </w:r>
    </w:p>
    <w:p>
      <w:r>
        <w:rPr>
          <w:rFonts w:ascii="等线(中文正文)" w:hAnsi="等线(中文正文)" w:cs="等线(中文正文)" w:eastAsia="等线(中文正文)"/>
          <w:b w:val="false"/>
          <w:i w:val="false"/>
          <w:sz w:val="20"/>
        </w:rPr>
        <w:t>发言人1 答：在SOC产品线上，公司在海外市场取得较大进展，产品设计满足海外需求，不仅延续跟随国内主机厂出海的路径，还直接与海外主机厂合作，拓宽了市场空间。在两轮车智能化领域，公司取得重大突破，已与头部主机厂建立合作关系并获得十几个定点项目，新产品8267在国内外市场获得认可。在MCU产品方面，总销量已破亿，从单颗产品扩展到780系列、784系列、787系列等完整产品布局，算力覆盖从小型到350兆主频的高端产品，实现了从服务国内系统商到打入全球市场的转变。</w:t>
      </w:r>
    </w:p>
    <w:p>
      <w:r>
        <w:rPr>
          <w:rFonts w:ascii="等线(中文正文)" w:hAnsi="等线(中文正文)" w:cs="等线(中文正文)" w:eastAsia="等线(中文正文)"/>
          <w:b w:val="false"/>
          <w:i w:val="false"/>
          <w:sz w:val="20"/>
        </w:rPr>
        <w:t/>
      </w:r>
    </w:p>
    <w:p>
      <w:pPr>
        <w:pStyle w:val="ab"/>
      </w:pPr>
      <w:r>
        <w:t>发言人1 问：mcu未来的重点研发方向在哪里？</w:t>
      </w:r>
    </w:p>
    <w:p>
      <w:r>
        <w:rPr>
          <w:rFonts w:ascii="等线(中文正文)" w:hAnsi="等线(中文正文)" w:cs="等线(中文正文)" w:eastAsia="等线(中文正文)"/>
          <w:b w:val="false"/>
          <w:i w:val="false"/>
          <w:sz w:val="20"/>
        </w:rPr>
        <w:t>发言人1 答：mcu未来的重点研发方向主要有四个方向。首先，将持续增强MC的算力，推动多核技术的成熟与应用。其次，将关注动能安全领域，利用7870产品在SOD和高功能性领域的优势，逐步将产品和服务拓展至底盘域，如制动、转向、悬架等高可靠性和高时性的应用场景。第三，通过与头部系统商的合作，结合芯片能力和算法能力，在特定应用场景中形成具有竞争力的护城河。最后，产品已开始与国内头部智能公司合作，致力于将MCO能力从汽车领域向移动智能体更大的领域推进。</w:t>
      </w:r>
    </w:p>
    <w:p>
      <w:r>
        <w:rPr>
          <w:rFonts w:ascii="等线(中文正文)" w:hAnsi="等线(中文正文)" w:cs="等线(中文正文)" w:eastAsia="等线(中文正文)"/>
          <w:b w:val="false"/>
          <w:i w:val="false"/>
          <w:sz w:val="20"/>
        </w:rPr>
        <w:t/>
      </w:r>
    </w:p>
    <w:p>
      <w:pPr>
        <w:pStyle w:val="ab"/>
      </w:pPr>
      <w:r>
        <w:t>发言人1 问：蒋总如何看待数据合规方面的政策及其对行业的意义？</w:t>
      </w:r>
    </w:p>
    <w:p>
      <w:r>
        <w:rPr>
          <w:rFonts w:ascii="等线(中文正文)" w:hAnsi="等线(中文正文)" w:cs="等线(中文正文)" w:eastAsia="等线(中文正文)"/>
          <w:b w:val="false"/>
          <w:i w:val="false"/>
          <w:sz w:val="20"/>
        </w:rPr>
        <w:t>发言人1 答：数据合规方面，今年一季度发布的汽车数据安全指引政策由多个部委联合制定，贯穿了汽车设计、制造到运行的全周期，并对车身、用户及环境数据的分类分级处理提出了明确要求。这一政策对于汽车行业走向国际化以及加强数据安全治理具有重要指导作用，有助于规范和提升整个行业的数据合规性和敏感度处理水平。</w:t>
      </w:r>
    </w:p>
    <w:p>
      <w:r>
        <w:rPr>
          <w:rFonts w:ascii="等线(中文正文)" w:hAnsi="等线(中文正文)" w:cs="等线(中文正文)" w:eastAsia="等线(中文正文)"/>
          <w:b w:val="false"/>
          <w:i w:val="false"/>
          <w:sz w:val="20"/>
        </w:rPr>
        <w:t/>
      </w:r>
    </w:p>
    <w:p>
      <w:pPr>
        <w:pStyle w:val="ab"/>
      </w:pPr>
      <w:r>
        <w:t>发言人1 问：张总如何看待公司合规业务的优势以及2026年的机遇？</w:t>
      </w:r>
    </w:p>
    <w:p>
      <w:r>
        <w:rPr>
          <w:rFonts w:ascii="等线(中文正文)" w:hAnsi="等线(中文正文)" w:cs="等线(中文正文)" w:eastAsia="等线(中文正文)"/>
          <w:b w:val="false"/>
          <w:i w:val="false"/>
          <w:sz w:val="20"/>
        </w:rPr>
        <w:t>发言人1 答：公司在合规业务方面具备显著优势，长期作为数据和服务提供商，在空间智能类数据领域积累深厚，尤其在智能网联和汽车智能化业务上拥有丰富的数据治理、管理和合规服务经验。此外，公司还承接了国家数据局的相关试点任务，为未来在可信空间的数据健全和流通保障等方面打下坚实基础。随着行业数据量更大丰富和技术趋势的变化，合规业务将迎来更多新的商机，同时与人工智能、云服务等领域的合作伙伴也将带来持续的增长动力。</w:t>
      </w:r>
    </w:p>
    <w:p>
      <w:r>
        <w:rPr>
          <w:rFonts w:ascii="等线(中文正文)" w:hAnsi="等线(中文正文)" w:cs="等线(中文正文)" w:eastAsia="等线(中文正文)"/>
          <w:b w:val="false"/>
          <w:i w:val="false"/>
          <w:sz w:val="20"/>
        </w:rPr>
        <w:t/>
      </w:r>
    </w:p>
    <w:p>
      <w:pPr>
        <w:pStyle w:val="ab"/>
      </w:pPr>
      <w:r>
        <w:t>发言人1 问：合规业务连续几年保持快速增长的驱动因素是什么？</w:t>
      </w:r>
    </w:p>
    <w:p>
      <w:r>
        <w:rPr>
          <w:rFonts w:ascii="等线(中文正文)" w:hAnsi="等线(中文正文)" w:cs="等线(中文正文)" w:eastAsia="等线(中文正文)"/>
          <w:b w:val="false"/>
          <w:i w:val="false"/>
          <w:sz w:val="20"/>
        </w:rPr>
        <w:t>发言人1 答：合规业务连续快速增长的主要驱动因素包括：一方面，从去年开始，有更多支撑场景的本体厂商和运营商与公司开展业务讨论并落实实施，服务客户领域呈现多元化趋势，不再局限于汽车领域，还扩展到机器人、自主驾驶等具身智能场景。另一方面，公司提供的数据地图数据和服务能力被广泛应用在智能网联示范区、自动驾驶示范区以及无人车监管等领域，合规服务在此基础上不断扩展并实现落地。</w:t>
      </w:r>
    </w:p>
    <w:p>
      <w:r>
        <w:rPr>
          <w:rFonts w:ascii="等线(中文正文)" w:hAnsi="等线(中文正文)" w:cs="等线(中文正文)" w:eastAsia="等线(中文正文)"/>
          <w:b w:val="false"/>
          <w:i w:val="false"/>
          <w:sz w:val="20"/>
        </w:rPr>
        <w:t/>
      </w:r>
    </w:p>
    <w:p>
      <w:pPr>
        <w:pStyle w:val="ab"/>
      </w:pPr>
      <w:r>
        <w:t>发言人1 问：在汽车数据出海的环境中，国内主体和海外公司如何配合，形成什么样的服务类型形态？</w:t>
      </w:r>
    </w:p>
    <w:p>
      <w:r>
        <w:rPr>
          <w:rFonts w:ascii="等线(中文正文)" w:hAnsi="等线(中文正文)" w:cs="等线(中文正文)" w:eastAsia="等线(中文正文)"/>
          <w:b w:val="false"/>
          <w:i w:val="false"/>
          <w:sz w:val="20"/>
        </w:rPr>
        <w:t>发言人1 答：在汽车数据出海的过程中，国内主体与海外公司会有效配合，共同构建一个科技公司在海外的数据处理闭环，并在国内外合规要求的联动下形成新的服务类型形态。预计这一领域将持续有较好的增长趋势。</w:t>
      </w:r>
    </w:p>
    <w:p>
      <w:r>
        <w:rPr>
          <w:rFonts w:ascii="等线(中文正文)" w:hAnsi="等线(中文正文)" w:cs="等线(中文正文)" w:eastAsia="等线(中文正文)"/>
          <w:b w:val="false"/>
          <w:i w:val="false"/>
          <w:sz w:val="20"/>
        </w:rPr>
        <w:t/>
      </w:r>
    </w:p>
    <w:p>
      <w:pPr>
        <w:pStyle w:val="ab"/>
      </w:pPr>
      <w:r>
        <w:t>发言人1 问：对于车端数据处理与以马拉松机器人等机器人端数据处理，在模式上是否存在差异？</w:t>
      </w:r>
    </w:p>
    <w:p>
      <w:r>
        <w:rPr>
          <w:rFonts w:ascii="等线(中文正文)" w:hAnsi="等线(中文正文)" w:cs="等线(中文正文)" w:eastAsia="等线(中文正文)"/>
          <w:b w:val="false"/>
          <w:i w:val="false"/>
          <w:sz w:val="20"/>
        </w:rPr>
        <w:t>发言人1 答：车端数据处理与机器人端数据处理确实存在区别。车端活动区域大、涉及重点敏感信息多且用户数量庞大，能形成大规模且广泛空间的数据集；而机器人在固定场景下的数据范围相对较小且可控，因此采取的技术措施和处理政策有所不同。</w:t>
      </w:r>
    </w:p>
    <w:p>
      <w:r>
        <w:rPr>
          <w:rFonts w:ascii="等线(中文正文)" w:hAnsi="等线(中文正文)" w:cs="等线(中文正文)" w:eastAsia="等线(中文正文)"/>
          <w:b w:val="false"/>
          <w:i w:val="false"/>
          <w:sz w:val="20"/>
        </w:rPr>
        <w:t/>
      </w:r>
    </w:p>
    <w:p>
      <w:pPr>
        <w:pStyle w:val="ab"/>
      </w:pPr>
      <w:r>
        <w:t>发言人1 问：关于数据合规方面，是否可以根据量和价的角度进行简单拆分计算单次服务的费用和提供的服务量？</w:t>
      </w:r>
    </w:p>
    <w:p>
      <w:r>
        <w:rPr>
          <w:rFonts w:ascii="等线(中文正文)" w:hAnsi="等线(中文正文)" w:cs="等线(中文正文)" w:eastAsia="等线(中文正文)"/>
          <w:b w:val="false"/>
          <w:i w:val="false"/>
          <w:sz w:val="20"/>
        </w:rPr>
        <w:t>发言人1 答：这个问题较为复杂，难以标准化处理。数据合规的成本与每辆车配备的传感器数量、不同传感器产生的数据规模、以及数据的分阶段处理方式密切相关。此外，针对不同类别数据（如环境数据、地理信息和个人隐私数据等）的脱敏处理也会根据设备选型和算法有所不同。最终的费用估算需要与客户沟通确定具体的技术方案和数据规模后，按照公司内部规则来预测。</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2026-05-05T15:19:40Z</dcterms:created>
  <dc:creator>Apache POI</dc:creator>
</cp:coreProperties>
</file>