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【摩根士丹利】Agent AI重构CPU算力格局、国产AI GPU加速替代，国内大模型技术迭代及产业机遇，谷歌TPU落地联发科，ASMPT设备高景气 260428_导读</w:t>
      </w:r>
    </w:p>
    <w:p>
      <w:pPr>
        <w:pStyle w:val="a0"/>
        <w:jc w:val="center"/>
      </w:pPr>
      <w:r>
        <w:t>2026年04月28日 22:43</w:t>
      </w:r>
    </w:p>
    <w:p>
      <w:pPr>
        <w:pStyle w:val="a7"/>
      </w:pPr>
      <w:r>
        <w:t>关键词</w:t>
      </w:r>
    </w:p>
    <w:p>
      <w:r>
        <w:rPr>
          <w:rFonts w:ascii="等线(中文正文)" w:hAnsi="等线(中文正文)" w:cs="等线(中文正文)" w:eastAsia="等线(中文正文)"/>
          <w:b w:val="false"/>
          <w:i w:val="false"/>
          <w:sz w:val="20"/>
        </w:rPr>
        <w:t xml:space="preserve">TPU AI GPU HBM CPU memory ABF substrate capex capacitor flux wafer AIGPU TSMC DVUV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本次讨论集中于科技行业的发展趋势，特别关注了现代站亚洲为机构客户和财务顾问举办的活动，强调媒体成员需离场。讨论涉及谷歌云Next事件后的影响，以及TPU（Tensor Processing Unit）的更新和生产计划，显示了对媒体技术的乐观预期。ASMPT公司在AI领域的前景被看好，预计其收入将显著增长。对话还触及了中国AI芯片市场的未来，预测到2030年市场规模将大幅扩大，国内自给率有望达到86%，并特别提到了寒武纪、图灵等公司在AI芯片领域的进展及DeepCove模型的创新技术，强调了模型性能在定价中的重要性。最后，讨论了美国技术控制法案对中国科技公司的潜在影响，可能加速本土替代方案的需求，并讨论了这对GPU及其他硬件供应商的影响，以及TSMC和Samsung等公司在芯片生产中角色的变化。整体而言，对话聚焦于科技行业的发展趋势、市场动态及政策变化对中国科技产业的潜在影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媒体攻击与半导体行业反馈讨论</w:t>
      </w:r>
    </w:p>
    <w:p>
      <w:r>
        <w:rPr>
          <w:rFonts w:ascii="等线(中文正文)" w:hAnsi="等线(中文正文)" w:cs="等线(中文正文)" w:eastAsia="等线(中文正文)"/>
          <w:b w:val="false"/>
          <w:i w:val="false"/>
          <w:sz w:val="20"/>
        </w:rPr>
        <w:t>会议围绕媒体攻击、ASMPT、亚洲市场反馈、Intel结果影响及中国AI半导体等话题展开，期间开放提问，讨论内容涵盖市场分析及行业动态，适合机构客户及财务顾问参与。</w:t>
      </w:r>
    </w:p>
    <w:p>
      <w:r>
        <w:rPr>
          <w:rFonts w:ascii="等线(中文正文)" w:hAnsi="等线(中文正文)" w:cs="等线(中文正文)" w:eastAsia="等线(中文正文)"/>
          <w:b w:val="false"/>
          <w:i w:val="false"/>
          <w:sz w:val="20"/>
        </w:rPr>
        <w:t/>
      </w:r>
    </w:p>
    <w:p>
      <w:pPr>
        <w:pStyle w:val="ab"/>
        <w:numPr>
          <w:numId w:val="2"/>
        </w:numPr>
      </w:pPr>
      <w:r>
        <w:t>01:09 谷歌TPU技术进展与市场展望</w:t>
      </w:r>
    </w:p>
    <w:p>
      <w:r>
        <w:rPr>
          <w:rFonts w:ascii="等线(中文正文)" w:hAnsi="等线(中文正文)" w:cs="等线(中文正文)" w:eastAsia="等线(中文正文)"/>
          <w:b w:val="false"/>
          <w:i w:val="false"/>
          <w:sz w:val="20"/>
        </w:rPr>
        <w:t>讨论了谷歌在云服务领域的最新进展，特别是其TPU芯片技术的更新，以及对市场的影响。谷歌计划年底大规模供应TPU，有望实现10亿美元的营收目标。同时，讨论了AI在手机上的应用前景，认为AI代理可能成为未来趋势，尤其是在安卓设备上。</w:t>
      </w:r>
    </w:p>
    <w:p>
      <w:r>
        <w:rPr>
          <w:rFonts w:ascii="等线(中文正文)" w:hAnsi="等线(中文正文)" w:cs="等线(中文正文)" w:eastAsia="等线(中文正文)"/>
          <w:b w:val="false"/>
          <w:i w:val="false"/>
          <w:sz w:val="20"/>
        </w:rPr>
        <w:t/>
      </w:r>
    </w:p>
    <w:p>
      <w:pPr>
        <w:pStyle w:val="ab"/>
        <w:numPr>
          <w:numId w:val="3"/>
        </w:numPr>
      </w:pPr>
      <w:r>
        <w:t>05:42 科技投资与市场趋势分析</w:t>
      </w:r>
    </w:p>
    <w:p>
      <w:r>
        <w:rPr>
          <w:rFonts w:ascii="等线(中文正文)" w:hAnsi="等线(中文正文)" w:cs="等线(中文正文)" w:eastAsia="等线(中文正文)"/>
          <w:b w:val="false"/>
          <w:i w:val="false"/>
          <w:sz w:val="20"/>
        </w:rPr>
        <w:t>讨论了智能设备与CPU市场的发展潜力，强调了成本增加与投资者对潜在价值的认识。提到了TPU与CPU的比例关系，以及市场对CPU的需求增长，预计价格有上涨空间。还提及了全球市场对CPU的内部调整。</w:t>
      </w:r>
    </w:p>
    <w:p>
      <w:r>
        <w:rPr>
          <w:rFonts w:ascii="等线(中文正文)" w:hAnsi="等线(中文正文)" w:cs="等线(中文正文)" w:eastAsia="等线(中文正文)"/>
          <w:b w:val="false"/>
          <w:i w:val="false"/>
          <w:sz w:val="20"/>
        </w:rPr>
        <w:t/>
      </w:r>
    </w:p>
    <w:p>
      <w:pPr>
        <w:pStyle w:val="ab"/>
        <w:numPr>
          <w:numId w:val="4"/>
        </w:numPr>
      </w:pPr>
      <w:r>
        <w:t>07:11 AI与芯片产业趋势：CPU与GPU比例变化及亚太市场影响</w:t>
      </w:r>
    </w:p>
    <w:p>
      <w:r>
        <w:rPr>
          <w:rFonts w:ascii="等线(中文正文)" w:hAnsi="等线(中文正文)" w:cs="等线(中文正文)" w:eastAsia="等线(中文正文)"/>
          <w:b w:val="false"/>
          <w:i w:val="false"/>
          <w:sz w:val="20"/>
        </w:rPr>
        <w:t>讨论了亚洲营销活动反馈、Intel报告强劲表现，以及AI对云计算半导体行业的影响。指出CPU与GPU比例正上升，CPU在非GPU服务器中重要性增加，预示着未来3-5年CPU需求可能翻倍或三倍。强调亚太地区在规格迁移中的作用，以及内存和光学组件的潜在增长。提到CPU服务器在资本效率上的优势，以及谷歌采用Intel先进封装技术的趋势，预测相关供应链公司将受益。讨论了台湾地区公司在TPU和CPU领域的潜在收益，以及市场对AI新角度的投资兴趣。</w:t>
      </w:r>
    </w:p>
    <w:p>
      <w:r>
        <w:rPr>
          <w:rFonts w:ascii="等线(中文正文)" w:hAnsi="等线(中文正文)" w:cs="等线(中文正文)" w:eastAsia="等线(中文正文)"/>
          <w:b w:val="false"/>
          <w:i w:val="false"/>
          <w:sz w:val="20"/>
        </w:rPr>
        <w:t/>
      </w:r>
    </w:p>
    <w:p>
      <w:pPr>
        <w:pStyle w:val="ab"/>
        <w:numPr>
          <w:numId w:val="5"/>
        </w:numPr>
      </w:pPr>
      <w:r>
        <w:t>12:36 ASMPT与三只中国AIGPU股票投资分析</w:t>
      </w:r>
    </w:p>
    <w:p>
      <w:r>
        <w:rPr>
          <w:rFonts w:ascii="等线(中文正文)" w:hAnsi="等线(中文正文)" w:cs="等线(中文正文)" w:eastAsia="等线(中文正文)"/>
          <w:b w:val="false"/>
          <w:i w:val="false"/>
          <w:sz w:val="20"/>
        </w:rPr>
        <w:t>讨论了ASMPT的近期业绩和未来增长潜力，包括SMT订单、光子解决方案增长以及TCB市场机遇。同时，分析了中国AI计算领域的结构性转型，推荐了三只中国AIGPU股票：Canbra、Elva和Matter X，强调了它们在AI芯片领域的竞争优势和投资价值。</w:t>
      </w:r>
    </w:p>
    <w:p>
      <w:r>
        <w:rPr>
          <w:rFonts w:ascii="等线(中文正文)" w:hAnsi="等线(中文正文)" w:cs="等线(中文正文)" w:eastAsia="等线(中文正文)"/>
          <w:b w:val="false"/>
          <w:i w:val="false"/>
          <w:sz w:val="20"/>
        </w:rPr>
        <w:t/>
      </w:r>
    </w:p>
    <w:p>
      <w:pPr>
        <w:pStyle w:val="ab"/>
        <w:numPr>
          <w:numId w:val="6"/>
        </w:numPr>
      </w:pPr>
      <w:r>
        <w:t>19:47 中国AI大模型市场竞争与DeepSeek V4技术突破</w:t>
      </w:r>
    </w:p>
    <w:p>
      <w:r>
        <w:rPr>
          <w:rFonts w:ascii="等线(中文正文)" w:hAnsi="等线(中文正文)" w:cs="等线(中文正文)" w:eastAsia="等线(中文正文)"/>
          <w:b w:val="false"/>
          <w:i w:val="false"/>
          <w:sz w:val="20"/>
        </w:rPr>
        <w:t>讨论了DeepSeek V4在模型参数、上下文窗口和计算效率上的技术突破，包括混合注意力机制、流形约束超连接等新方法，以及FP4量化技术的应用。DeepSeek V4在性能上超越了其他模型，同时通过价格折扣策略影响了市场，但专家认为模型性能而非价格将是主导因素，市场不会陷入价格战。</w:t>
      </w:r>
    </w:p>
    <w:p>
      <w:r>
        <w:rPr>
          <w:rFonts w:ascii="等线(中文正文)" w:hAnsi="等线(中文正文)" w:cs="等线(中文正文)" w:eastAsia="等线(中文正文)"/>
          <w:b w:val="false"/>
          <w:i w:val="false"/>
          <w:sz w:val="20"/>
        </w:rPr>
        <w:t/>
      </w:r>
    </w:p>
    <w:p>
      <w:pPr>
        <w:pStyle w:val="ab"/>
        <w:numPr>
          <w:numId w:val="7"/>
        </w:numPr>
      </w:pPr>
      <w:r>
        <w:t>26:52 中国AI芯片与大模型发展趋势及国际技术控制影响</w:t>
      </w:r>
    </w:p>
    <w:p>
      <w:r>
        <w:rPr>
          <w:rFonts w:ascii="等线(中文正文)" w:hAnsi="等线(中文正文)" w:cs="等线(中文正文)" w:eastAsia="等线(中文正文)"/>
          <w:b w:val="false"/>
          <w:i w:val="false"/>
          <w:sz w:val="20"/>
        </w:rPr>
        <w:t>讨论了中国AI芯片市场的发展，特别是华为等本土供应商在GPU领域的崛起及其对供应链的影响。提及了大型语言模型在参数规模和上下文窗口长度上的新标准，以及中国模型通过结构创新提升竞争力的趋势。同时，分析了美国提出的多边技术控制法案（MATCH Act）对中国AI芯片产能扩展的潜在影响，以及中国加速国内替代和供应链回流的应对策略。</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主持的网络广播聚焦于大中华区TMT领域的关键议题，面向摩根士丹利的机构客户和财务顾问。他首先介绍了讨论的主题，包括媒体攻击、ASMPT的市场表现、亚洲市场反馈、Intel财报影响及半导体在中国的应用等。随后，他深入分析了谷歌云Next活动对行业的影响，特别是TPU新技术对媒体攻击技术的潜在作用，以及AI在智能手机上的应用前景和亚洲市场反馈。他还讨论了ASMPT的股票表现及未来增长预期，并深入探讨了中国AI计算领域的发展，包括AI芯片市场的增长预测和国内自给率提升目标。此外，他还介绍了DeepLake的AV4模型，分析了其技术创新和市场竞争力。整体而言，他的发言涵盖了TMT领域的多个热点话题，提供了深入的行业见解和投资分析。</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is the purpose of the webcast mentioned in the speech?</w:t>
      </w:r>
    </w:p>
    <w:p>
      <w:r>
        <w:rPr>
          <w:rFonts w:ascii="等线(中文正文)" w:hAnsi="等线(中文正文)" w:cs="等线(中文正文)" w:eastAsia="等线(中文正文)"/>
          <w:b w:val="false"/>
          <w:i w:val="false"/>
          <w:sz w:val="20"/>
        </w:rPr>
        <w:t>发言人1 答：The purpose of the webcast is to discuss various topics including media attack, ASMPT, Asia marketing feedback, TSMC results implication, and call semis and China AILLM.</w:t>
      </w:r>
    </w:p>
    <w:p>
      <w:r>
        <w:rPr>
          <w:rFonts w:ascii="等线(中文正文)" w:hAnsi="等线(中文正文)" w:cs="等线(中文正文)" w:eastAsia="等线(中文正文)"/>
          <w:b w:val="false"/>
          <w:i w:val="false"/>
          <w:sz w:val="20"/>
        </w:rPr>
        <w:t/>
      </w:r>
    </w:p>
    <w:p>
      <w:pPr>
        <w:pStyle w:val="ab"/>
      </w:pPr>
      <w:r>
        <w:t>发言人1 问：What was the trigger for the media attack discussion?</w:t>
      </w:r>
    </w:p>
    <w:p>
      <w:r>
        <w:rPr>
          <w:rFonts w:ascii="等线(中文正文)" w:hAnsi="等线(中文正文)" w:cs="等线(中文正文)" w:eastAsia="等线(中文正文)"/>
          <w:b w:val="false"/>
          <w:i w:val="false"/>
          <w:sz w:val="20"/>
        </w:rPr>
        <w:t>发言人1 答：The media attack discussion was triggered by Google's cloud next event, which introduced the TPBSA skill.</w:t>
      </w:r>
    </w:p>
    <w:p>
      <w:r>
        <w:rPr>
          <w:rFonts w:ascii="等线(中文正文)" w:hAnsi="等线(中文正文)" w:cs="等线(中文正文)" w:eastAsia="等线(中文正文)"/>
          <w:b w:val="false"/>
          <w:i w:val="false"/>
          <w:sz w:val="20"/>
        </w:rPr>
        <w:t/>
      </w:r>
    </w:p>
    <w:p>
      <w:pPr>
        <w:pStyle w:val="ab"/>
      </w:pPr>
      <w:r>
        <w:t>发言人1 问：What is the TPBSA skill introduced by Google, and what is its purpose?</w:t>
      </w:r>
    </w:p>
    <w:p>
      <w:r>
        <w:rPr>
          <w:rFonts w:ascii="等线(中文正文)" w:hAnsi="等线(中文正文)" w:cs="等线(中文正文)" w:eastAsia="等线(中文正文)"/>
          <w:b w:val="false"/>
          <w:i w:val="false"/>
          <w:sz w:val="20"/>
        </w:rPr>
        <w:t>发言人1 答：The TPBSA skill introduced by Google is related to training, and it reaffirms the media attack passive season.</w:t>
      </w:r>
    </w:p>
    <w:p>
      <w:r>
        <w:rPr>
          <w:rFonts w:ascii="等线(中文正文)" w:hAnsi="等线(中文正文)" w:cs="等线(中文正文)" w:eastAsia="等线(中文正文)"/>
          <w:b w:val="false"/>
          <w:i w:val="false"/>
          <w:sz w:val="20"/>
        </w:rPr>
        <w:t/>
      </w:r>
    </w:p>
    <w:p>
      <w:pPr>
        <w:pStyle w:val="ab"/>
      </w:pPr>
      <w:r>
        <w:t>发言人1 问：What is the forecasted revenue and unit shipment for TPU by the end of the year?</w:t>
      </w:r>
    </w:p>
    <w:p>
      <w:r>
        <w:rPr>
          <w:rFonts w:ascii="等线(中文正文)" w:hAnsi="等线(中文正文)" w:cs="等线(中文正文)" w:eastAsia="等线(中文正文)"/>
          <w:b w:val="false"/>
          <w:i w:val="false"/>
          <w:sz w:val="20"/>
        </w:rPr>
        <w:t>发言人1 答：The forecasted revenue for TPU by the end of the year is one billion USR, with suppression check suggesting a run of four to five hundred thousand units. Additionally, it is mentioned that each trip is forecasted to be a four thousand USRASP, growing into two thousand twenty-seven.</w:t>
      </w:r>
    </w:p>
    <w:p>
      <w:r>
        <w:rPr>
          <w:rFonts w:ascii="等线(中文正文)" w:hAnsi="等线(中文正文)" w:cs="等线(中文正文)" w:eastAsia="等线(中文正文)"/>
          <w:b w:val="false"/>
          <w:i w:val="false"/>
          <w:sz w:val="20"/>
        </w:rPr>
        <w:t/>
      </w:r>
    </w:p>
    <w:p>
      <w:pPr>
        <w:pStyle w:val="ab"/>
      </w:pPr>
      <w:r>
        <w:t>发言人1 问：What concerns are there regarding the TPU forecast and how is Intel involved?</w:t>
      </w:r>
    </w:p>
    <w:p>
      <w:r>
        <w:rPr>
          <w:rFonts w:ascii="等线(中文正文)" w:hAnsi="等线(中文正文)" w:cs="等线(中文正文)" w:eastAsia="等线(中文正文)"/>
          <w:b w:val="false"/>
          <w:i w:val="false"/>
          <w:sz w:val="20"/>
        </w:rPr>
        <w:t>发言人1 答：Concerns include the total IP and the adoption of Intel's solution. However, it's noted that there will be a minimum shift of TPU with the integration of Intel chips, and if Intel can scale well, the potential for outside contributions is not ruled out.</w:t>
      </w:r>
    </w:p>
    <w:p>
      <w:r>
        <w:rPr>
          <w:rFonts w:ascii="等线(中文正文)" w:hAnsi="等线(中文正文)" w:cs="等线(中文正文)" w:eastAsia="等线(中文正文)"/>
          <w:b w:val="false"/>
          <w:i w:val="false"/>
          <w:sz w:val="20"/>
        </w:rPr>
        <w:t/>
      </w:r>
    </w:p>
    <w:p>
      <w:pPr>
        <w:pStyle w:val="ab"/>
      </w:pPr>
      <w:r>
        <w:t>发言人1 问：What is the projected growth in AI generation from Google's TPU?</w:t>
      </w:r>
    </w:p>
    <w:p>
      <w:r>
        <w:rPr>
          <w:rFonts w:ascii="等线(中文正文)" w:hAnsi="等线(中文正文)" w:cs="等线(中文正文)" w:eastAsia="等线(中文正文)"/>
          <w:b w:val="false"/>
          <w:i w:val="false"/>
          <w:sz w:val="20"/>
        </w:rPr>
        <w:t>发言人1 答：The projected growth in AI generation from Google's TPU over the next three to five years is very clear, indicating an advance in the technology.</w:t>
      </w:r>
    </w:p>
    <w:p>
      <w:r>
        <w:rPr>
          <w:rFonts w:ascii="等线(中文正文)" w:hAnsi="等线(中文正文)" w:cs="等线(中文正文)" w:eastAsia="等线(中文正文)"/>
          <w:b w:val="false"/>
          <w:i w:val="false"/>
          <w:sz w:val="20"/>
        </w:rPr>
        <w:t/>
      </w:r>
    </w:p>
    <w:p>
      <w:pPr>
        <w:pStyle w:val="ab"/>
      </w:pPr>
      <w:r>
        <w:t>发言人1 问：What are the potential implications of AI agents on Android phones?</w:t>
      </w:r>
    </w:p>
    <w:p>
      <w:r>
        <w:rPr>
          <w:rFonts w:ascii="等线(中文正文)" w:hAnsi="等线(中文正文)" w:cs="等线(中文正文)" w:eastAsia="等线(中文正文)"/>
          <w:b w:val="false"/>
          <w:i w:val="false"/>
          <w:sz w:val="20"/>
        </w:rPr>
        <w:t>发言人1 答：It is argued that AI agents could happen on Android phones in the coming years, contrary to the common belief that it is a liability. Google has announced system updates early this year and it's not ruled out that there will be further preparation of AI agents on phones, which could benefit cloud services.</w:t>
      </w:r>
    </w:p>
    <w:p>
      <w:r>
        <w:rPr>
          <w:rFonts w:ascii="等线(中文正文)" w:hAnsi="等线(中文正文)" w:cs="等线(中文正文)" w:eastAsia="等线(中文正文)"/>
          <w:b w:val="false"/>
          <w:i w:val="false"/>
          <w:sz w:val="20"/>
        </w:rPr>
        <w:t/>
      </w:r>
    </w:p>
    <w:p>
      <w:pPr>
        <w:pStyle w:val="ab"/>
      </w:pPr>
      <w:r>
        <w:t>发言人1 问：How is the integration of CPUs with GPUs expected to change in the future?</w:t>
      </w:r>
    </w:p>
    <w:p>
      <w:r>
        <w:rPr>
          <w:rFonts w:ascii="等线(中文正文)" w:hAnsi="等线(中文正文)" w:cs="等线(中文正文)" w:eastAsia="等线(中文正文)"/>
          <w:b w:val="false"/>
          <w:i w:val="false"/>
          <w:sz w:val="20"/>
        </w:rPr>
        <w:t>发言人1 答：The integration of CPUs with GPUs is expected to change with the CPU doing serial computing for urgent working flows and more complex work being done by multi-core CPUs. The ratio of CPU to GPU is expected to rise from 8:1 to 4:1, potentially to 2:1 or even 1:1, driven by supply changes and the need for more and higher-density memory along with the CPU integration.</w:t>
      </w:r>
    </w:p>
    <w:p>
      <w:r>
        <w:rPr>
          <w:rFonts w:ascii="等线(中文正文)" w:hAnsi="等线(中文正文)" w:cs="等线(中文正文)" w:eastAsia="等线(中文正文)"/>
          <w:b w:val="false"/>
          <w:i w:val="false"/>
          <w:sz w:val="20"/>
        </w:rPr>
        <w:t/>
      </w:r>
    </w:p>
    <w:p>
      <w:pPr>
        <w:pStyle w:val="ab"/>
      </w:pPr>
      <w:r>
        <w:t>发言人1 问：What are the potential benefits of spec migration in Asia?</w:t>
      </w:r>
    </w:p>
    <w:p>
      <w:r>
        <w:rPr>
          <w:rFonts w:ascii="等线(中文正文)" w:hAnsi="等线(中文正文)" w:cs="等线(中文正文)" w:eastAsia="等线(中文正文)"/>
          <w:b w:val="false"/>
          <w:i w:val="false"/>
          <w:sz w:val="20"/>
        </w:rPr>
        <w:t>发言人1 答：The potential benefits of spec migration in Asia include the identification of several places to play for AI and semiconductor migration, with the mountains in Asia being considered a good proxy. There's an observation of a spec migration access elating, especially for advanced semiconductors, and higher capex efficiency on components like ABMC, particularly in the GPU era.</w:t>
      </w:r>
    </w:p>
    <w:p>
      <w:r>
        <w:rPr>
          <w:rFonts w:ascii="等线(中文正文)" w:hAnsi="等线(中文正文)" w:cs="等线(中文正文)" w:eastAsia="等线(中文正文)"/>
          <w:b w:val="false"/>
          <w:i w:val="false"/>
          <w:sz w:val="20"/>
        </w:rPr>
        <w:t/>
      </w:r>
    </w:p>
    <w:p>
      <w:pPr>
        <w:pStyle w:val="ab"/>
      </w:pPr>
      <w:r>
        <w:t>发言人1 问：Which companies in Taiwan could benefit from the spec migration and why?</w:t>
      </w:r>
    </w:p>
    <w:p>
      <w:r>
        <w:rPr>
          <w:rFonts w:ascii="等线(中文正文)" w:hAnsi="等线(中文正文)" w:cs="等线(中文正文)" w:eastAsia="等线(中文正文)"/>
          <w:b w:val="false"/>
          <w:i w:val="false"/>
          <w:sz w:val="20"/>
        </w:rPr>
        <w:t>发言人1 答：Companies in Taiwan could benefit from the spec migration because a lot of suppression shift value is moving from only GPU vendors to border semiconductors. According to a Chinese commentary on ATPU, many companies in Taiwan could gain from this migration.</w:t>
      </w:r>
    </w:p>
    <w:p>
      <w:r>
        <w:rPr>
          <w:rFonts w:ascii="等线(中文正文)" w:hAnsi="等线(中文正文)" w:cs="等线(中文正文)" w:eastAsia="等线(中文正文)"/>
          <w:b w:val="false"/>
          <w:i w:val="false"/>
          <w:sz w:val="20"/>
        </w:rPr>
        <w:t/>
      </w:r>
    </w:p>
    <w:p>
      <w:pPr>
        <w:pStyle w:val="ab"/>
      </w:pPr>
      <w:r>
        <w:t>发言人1 问：Who are the likely beneficiaries of Google's adoption of TPU and Intel's packaging technology?</w:t>
      </w:r>
    </w:p>
    <w:p>
      <w:r>
        <w:rPr>
          <w:rFonts w:ascii="等线(中文正文)" w:hAnsi="等线(中文正文)" w:cs="等线(中文正文)" w:eastAsia="等线(中文正文)"/>
          <w:b w:val="false"/>
          <w:i w:val="false"/>
          <w:sz w:val="20"/>
        </w:rPr>
        <w:t>发言人1 答：The likely beneficiaries of Google's adoption of TPU and Intel's packaging technology include various companies in the supply chain, including a Taiwanese company called AP memory, which is a supplier on the city capacitor and is expected to double its revenue in one to two years.</w:t>
      </w:r>
    </w:p>
    <w:p>
      <w:r>
        <w:rPr>
          <w:rFonts w:ascii="等线(中文正文)" w:hAnsi="等线(中文正文)" w:cs="等线(中文正文)" w:eastAsia="等线(中文正文)"/>
          <w:b w:val="false"/>
          <w:i w:val="false"/>
          <w:sz w:val="20"/>
        </w:rPr>
        <w:t/>
      </w:r>
    </w:p>
    <w:p>
      <w:pPr>
        <w:pStyle w:val="ab"/>
      </w:pPr>
      <w:r>
        <w:t>发言人1 问：What is the projected growth for ASMPT's revenue and what factors are driving it?</w:t>
      </w:r>
    </w:p>
    <w:p>
      <w:r>
        <w:rPr>
          <w:rFonts w:ascii="等线(中文正文)" w:hAnsi="等线(中文正文)" w:cs="等线(中文正文)" w:eastAsia="等线(中文正文)"/>
          <w:b w:val="false"/>
          <w:i w:val="false"/>
          <w:sz w:val="20"/>
        </w:rPr>
        <w:t>发言人1 答：The projected growth for ASMPT's revenue is expected to accelerate to 25% in 2026, mainly due to strong OK pixel growth and the addition of AI services to the business. Key highlights from its earnings show that solution bookings are increasing, and although SMT bookings are declining due to high base effects, the yearly growth should remain high.</w:t>
      </w:r>
    </w:p>
    <w:p>
      <w:r>
        <w:rPr>
          <w:rFonts w:ascii="等线(中文正文)" w:hAnsi="等线(中文正文)" w:cs="等线(中文正文)" w:eastAsia="等线(中文正文)"/>
          <w:b w:val="false"/>
          <w:i w:val="false"/>
          <w:sz w:val="20"/>
        </w:rPr>
        <w:t/>
      </w:r>
    </w:p>
    <w:p>
      <w:pPr>
        <w:pStyle w:val="ab"/>
      </w:pPr>
      <w:r>
        <w:t>发言人1 问：What are the expectations for ASMPT's TCB segment and the broader AIGPU market in China?</w:t>
      </w:r>
    </w:p>
    <w:p>
      <w:r>
        <w:rPr>
          <w:rFonts w:ascii="等线(中文正文)" w:hAnsi="等线(中文正文)" w:cs="等线(中文正文)" w:eastAsia="等线(中文正文)"/>
          <w:b w:val="false"/>
          <w:i w:val="false"/>
          <w:sz w:val="20"/>
        </w:rPr>
        <w:t>发言人1 答：The expectations for ASMPT's TCB segment suggest that it could grow significantly from 2028 onwards, with a high likelihood of shipment for next year. ASMPT has secured an order for HBM from a memory company and has a signed agreement with Samsung, suggesting a high probability of shipment for next year.</w:t>
      </w:r>
    </w:p>
    <w:p>
      <w:r>
        <w:rPr>
          <w:rFonts w:ascii="等线(中文正文)" w:hAnsi="等线(中文正文)" w:cs="等线(中文正文)" w:eastAsia="等线(中文正文)"/>
          <w:b w:val="false"/>
          <w:i w:val="false"/>
          <w:sz w:val="20"/>
        </w:rPr>
        <w:t/>
      </w:r>
    </w:p>
    <w:p>
      <w:pPr>
        <w:pStyle w:val="ab"/>
      </w:pPr>
      <w:r>
        <w:t>发言人1 问：Which companies are considered likely to win in the localization cycle of China's AI chip market?</w:t>
      </w:r>
    </w:p>
    <w:p>
      <w:r>
        <w:rPr>
          <w:rFonts w:ascii="等线(中文正文)" w:hAnsi="等线(中文正文)" w:cs="等线(中文正文)" w:eastAsia="等线(中文正文)"/>
          <w:b w:val="false"/>
          <w:i w:val="false"/>
          <w:sz w:val="20"/>
        </w:rPr>
        <w:t>发言人1 答：The companies considered likely to win in the localization cycle of China's AI chip market include Canbridge, MetaX, and Cerebras. Canbridge is viewed as a leading domestic AI inference chip play with strengths in deep customer anchoring with major cloud service providers, hardware-software optimization, and large-scale cloud inference deployment. MetaX is a diversified GPGPU vendor with a relatively strong cloud software compatibility and scalable near-term manufacturing process. Cerebras stands out for its diversified supply chain strategy, strong supply visibility, and growing cloud customer exposure.</w:t>
      </w:r>
    </w:p>
    <w:p>
      <w:r>
        <w:rPr>
          <w:rFonts w:ascii="等线(中文正文)" w:hAnsi="等线(中文正文)" w:cs="等线(中文正文)" w:eastAsia="等线(中文正文)"/>
          <w:b w:val="false"/>
          <w:i w:val="false"/>
          <w:sz w:val="20"/>
        </w:rPr>
        <w:t/>
      </w:r>
    </w:p>
    <w:p>
      <w:pPr>
        <w:pStyle w:val="ab"/>
      </w:pPr>
      <w:r>
        <w:t>发言人1 问：What are the potential implications of Alibaba's potential spin-off of Cerebras?</w:t>
      </w:r>
    </w:p>
    <w:p>
      <w:r>
        <w:rPr>
          <w:rFonts w:ascii="等线(中文正文)" w:hAnsi="等线(中文正文)" w:cs="等线(中文正文)" w:eastAsia="等线(中文正文)"/>
          <w:b w:val="false"/>
          <w:i w:val="false"/>
          <w:sz w:val="20"/>
        </w:rPr>
        <w:t>发言人1 答：The potential implications of Alibaba's potential spin-off of Cerebras could be significant, although the current valuation of the stock is less attractive compared to its peers, which is why the rating is equal weight.</w:t>
      </w:r>
    </w:p>
    <w:p>
      <w:r>
        <w:rPr>
          <w:rFonts w:ascii="等线(中文正文)" w:hAnsi="等线(中文正文)" w:cs="等线(中文正文)" w:eastAsia="等线(中文正文)"/>
          <w:b w:val="false"/>
          <w:i w:val="false"/>
          <w:sz w:val="20"/>
        </w:rPr>
        <w:t/>
      </w:r>
    </w:p>
    <w:p>
      <w:pPr>
        <w:pStyle w:val="ab"/>
      </w:pPr>
      <w:r>
        <w:t>发言人1 问：What are the key features of the open weight model with a ME mixture of experts structure compared to the previous year's model?</w:t>
      </w:r>
    </w:p>
    <w:p>
      <w:r>
        <w:rPr>
          <w:rFonts w:ascii="等线(中文正文)" w:hAnsi="等线(中文正文)" w:cs="等线(中文正文)" w:eastAsia="等线(中文正文)"/>
          <w:b w:val="false"/>
          <w:i w:val="false"/>
          <w:sz w:val="20"/>
        </w:rPr>
        <w:t>发言人1 答：The open weight model with a ME mixture of experts structure has more parameters, at one point six trillion, and a longer context window of over one million tokens. It is also more expensive but outperforms the previous year's model in coding and generative capabilities in some metrics, matching or surpassing the performance of model v4.6.</w:t>
      </w:r>
    </w:p>
    <w:p>
      <w:r>
        <w:rPr>
          <w:rFonts w:ascii="等线(中文正文)" w:hAnsi="等线(中文正文)" w:cs="等线(中文正文)" w:eastAsia="等线(中文正文)"/>
          <w:b w:val="false"/>
          <w:i w:val="false"/>
          <w:sz w:val="20"/>
        </w:rPr>
        <w:t/>
      </w:r>
    </w:p>
    <w:p>
      <w:pPr>
        <w:pStyle w:val="ab"/>
      </w:pPr>
      <w:r>
        <w:t>发言人1 问：What is the hybrid attention mechanism and how does it benefit the model?</w:t>
      </w:r>
    </w:p>
    <w:p>
      <w:r>
        <w:rPr>
          <w:rFonts w:ascii="等线(中文正文)" w:hAnsi="等线(中文正文)" w:cs="等线(中文正文)" w:eastAsia="等线(中文正文)"/>
          <w:b w:val="false"/>
          <w:i w:val="false"/>
          <w:sz w:val="20"/>
        </w:rPr>
        <w:t>发言人1 答：The hybrid attention mechanism is a new technique introduced in deep CV models that combines C-S-A (Compressed Space Attention) and H-C-A (Heavily Compressed Attention) to release more compute and memory resources during training and inference, thereby making more efficient utilization of token computation.</w:t>
      </w:r>
    </w:p>
    <w:p>
      <w:r>
        <w:rPr>
          <w:rFonts w:ascii="等线(中文正文)" w:hAnsi="等线(中文正文)" w:cs="等线(中文正文)" w:eastAsia="等线(中文正文)"/>
          <w:b w:val="false"/>
          <w:i w:val="false"/>
          <w:sz w:val="20"/>
        </w:rPr>
        <w:t/>
      </w:r>
    </w:p>
    <w:p>
      <w:pPr>
        <w:pStyle w:val="ab"/>
      </w:pPr>
      <w:r>
        <w:t>发言人1 问：What is the significance of the manifold constraint hyper connections technique in the model?</w:t>
      </w:r>
    </w:p>
    <w:p>
      <w:r>
        <w:rPr>
          <w:rFonts w:ascii="等线(中文正文)" w:hAnsi="等线(中文正文)" w:cs="等线(中文正文)" w:eastAsia="等线(中文正文)"/>
          <w:b w:val="false"/>
          <w:i w:val="false"/>
          <w:sz w:val="20"/>
        </w:rPr>
        <w:t>发言人1 答：The manifold constraint hyper connections technique is used to stabilize the model during the inference stage, which in turn improves the model's overall stability.</w:t>
      </w:r>
    </w:p>
    <w:p>
      <w:r>
        <w:rPr>
          <w:rFonts w:ascii="等线(中文正文)" w:hAnsi="等线(中文正文)" w:cs="等线(中文正文)" w:eastAsia="等线(中文正文)"/>
          <w:b w:val="false"/>
          <w:i w:val="false"/>
          <w:sz w:val="20"/>
        </w:rPr>
        <w:t/>
      </w:r>
    </w:p>
    <w:p>
      <w:pPr>
        <w:pStyle w:val="ab"/>
      </w:pPr>
      <w:r>
        <w:t>发言人1 问：What engineering works were adopted by the model to further improve its efficiency?</w:t>
      </w:r>
    </w:p>
    <w:p>
      <w:r>
        <w:rPr>
          <w:rFonts w:ascii="等线(中文正文)" w:hAnsi="等线(中文正文)" w:cs="等线(中文正文)" w:eastAsia="等线(中文正文)"/>
          <w:b w:val="false"/>
          <w:i w:val="false"/>
          <w:sz w:val="20"/>
        </w:rPr>
        <w:t>发言人1 答：Engineering works such as FP4 quantization for its MOE experts, previously using FP8, have been adopted to further quantize the models to lower precision and save more memory space, resulting in a significant improvement in computing efficiency.</w:t>
      </w:r>
    </w:p>
    <w:p>
      <w:r>
        <w:rPr>
          <w:rFonts w:ascii="等线(中文正文)" w:hAnsi="等线(中文正文)" w:cs="等线(中文正文)" w:eastAsia="等线(中文正文)"/>
          <w:b w:val="false"/>
          <w:i w:val="false"/>
          <w:sz w:val="20"/>
        </w:rPr>
        <w:t/>
      </w:r>
    </w:p>
    <w:p>
      <w:pPr>
        <w:pStyle w:val="ab"/>
      </w:pPr>
      <w:r>
        <w:t>发言人1 问：How does the new model compare to the previous one in terms of computing efficiency and cost?</w:t>
      </w:r>
    </w:p>
    <w:p>
      <w:r>
        <w:rPr>
          <w:rFonts w:ascii="等线(中文正文)" w:hAnsi="等线(中文正文)" w:cs="等线(中文正文)" w:eastAsia="等线(中文正文)"/>
          <w:b w:val="false"/>
          <w:i w:val="false"/>
          <w:sz w:val="20"/>
        </w:rPr>
        <w:t>发言人1 答：Compared to model v3.2 from last year, the new model requires only 27 percent of the single token flops and 10 percent of the KV cash, which is a substantial improvement in computing efficiency. Despite temporary price discounts, the model is still more expensive than its previous version and other models like deep CV3.2.</w:t>
      </w:r>
    </w:p>
    <w:p>
      <w:r>
        <w:rPr>
          <w:rFonts w:ascii="等线(中文正文)" w:hAnsi="等线(中文正文)" w:cs="等线(中文正文)" w:eastAsia="等线(中文正文)"/>
          <w:b w:val="false"/>
          <w:i w:val="false"/>
          <w:sz w:val="20"/>
        </w:rPr>
        <w:t/>
      </w:r>
    </w:p>
    <w:p>
      <w:pPr>
        <w:pStyle w:val="ab"/>
      </w:pPr>
      <w:r>
        <w:t>发言人1 问：What are the expectations for the future of large language models in China regarding their pricing and performance?</w:t>
      </w:r>
    </w:p>
    <w:p>
      <w:r>
        <w:rPr>
          <w:rFonts w:ascii="等线(中文正文)" w:hAnsi="等线(中文正文)" w:cs="等线(中文正文)" w:eastAsia="等线(中文正文)"/>
          <w:b w:val="false"/>
          <w:i w:val="false"/>
          <w:sz w:val="20"/>
        </w:rPr>
        <w:t>发言人1 答：The expectations for the future of large language models in China suggest that model performance is a more significant driver of pricing than costs. The market is not expected to fully commoditize, and China is not anticipated to enter a price war due to the high value placed on leading large language models and their performance.</w:t>
      </w:r>
    </w:p>
    <w:p>
      <w:r>
        <w:rPr>
          <w:rFonts w:ascii="等线(中文正文)" w:hAnsi="等线(中文正文)" w:cs="等线(中文正文)" w:eastAsia="等线(中文正文)"/>
          <w:b w:val="false"/>
          <w:i w:val="false"/>
          <w:sz w:val="20"/>
        </w:rPr>
        <w:t/>
      </w:r>
    </w:p>
    <w:p>
      <w:pPr>
        <w:pStyle w:val="ab"/>
      </w:pPr>
      <w:r>
        <w:t>发言人1 问：How does the new model's cash input price compare to others and what is the potential impact of the new computing chips?</w:t>
      </w:r>
    </w:p>
    <w:p>
      <w:r>
        <w:rPr>
          <w:rFonts w:ascii="等线(中文正文)" w:hAnsi="等线(中文正文)" w:cs="等线(中文正文)" w:eastAsia="等线(中文正文)"/>
          <w:b w:val="false"/>
          <w:i w:val="false"/>
          <w:sz w:val="20"/>
        </w:rPr>
        <w:t>发言人1 答：The new model's cash input price is high among large language models, but it is expected to decrease when Huawei's new chips become available in the second half of 2026. Other large models are adopting local chips for inference to handle the high input prices and alleviate the shortage of computing power.</w:t>
      </w:r>
    </w:p>
    <w:p>
      <w:r>
        <w:rPr>
          <w:rFonts w:ascii="等线(中文正文)" w:hAnsi="等线(中文正文)" w:cs="等线(中文正文)" w:eastAsia="等线(中文正文)"/>
          <w:b w:val="false"/>
          <w:i w:val="false"/>
          <w:sz w:val="20"/>
        </w:rPr>
        <w:t/>
      </w:r>
    </w:p>
    <w:p>
      <w:pPr>
        <w:pStyle w:val="ab"/>
      </w:pPr>
      <w:r>
        <w:t>发言人1 问：What will likely become the new standard for large language models in China regarding parameters and context window?</w:t>
      </w:r>
    </w:p>
    <w:p>
      <w:r>
        <w:rPr>
          <w:rFonts w:ascii="等线(中文正文)" w:hAnsi="等线(中文正文)" w:cs="等线(中文正文)" w:eastAsia="等线(中文正文)"/>
          <w:b w:val="false"/>
          <w:i w:val="false"/>
          <w:sz w:val="20"/>
        </w:rPr>
        <w:t>发言人1 答：Models in China are expected to adopt a new standard of having one trillion parameters and a one million token context window by the second half of this year to handle tasks like agents and long-form writing.</w:t>
      </w:r>
    </w:p>
    <w:p>
      <w:r>
        <w:rPr>
          <w:rFonts w:ascii="等线(中文正文)" w:hAnsi="等线(中文正文)" w:cs="等线(中文正文)" w:eastAsia="等线(中文正文)"/>
          <w:b w:val="false"/>
          <w:i w:val="false"/>
          <w:sz w:val="20"/>
        </w:rPr>
        <w:t/>
      </w:r>
    </w:p>
    <w:p>
      <w:pPr>
        <w:pStyle w:val="ab"/>
      </w:pPr>
      <w:r>
        <w:t>发言人1 问：How are Chinese large language models competing with U.S. models and what role does structural innovation play?</w:t>
      </w:r>
    </w:p>
    <w:p>
      <w:r>
        <w:rPr>
          <w:rFonts w:ascii="等线(中文正文)" w:hAnsi="等线(中文正文)" w:cs="等线(中文正文)" w:eastAsia="等线(中文正文)"/>
          <w:b w:val="false"/>
          <w:i w:val="false"/>
          <w:sz w:val="20"/>
        </w:rPr>
        <w:t>发言人1 答：Chinese large language models are competing with U.S. models through structural innovation that improves intelligence density and token cost efficiency. Deep Thinking is an example of how such structural innovation can provide a competitive edge.</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2026-04-28T14:54:57Z</dcterms:created>
  <dc:creator>Apache POI</dc:creator>
</cp:coreProperties>
</file>